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ascii="方正小标宋简体" w:eastAsia="方正小标宋简体"/>
          <w:sz w:val="44"/>
          <w:szCs w:val="44"/>
          <w:highlight w:val="none"/>
        </w:rPr>
      </w:pPr>
      <w:bookmarkStart w:id="91" w:name="_GoBack"/>
      <w:bookmarkEnd w:id="91"/>
      <w:r>
        <w:rPr>
          <w:rFonts w:hint="eastAsia" w:ascii="方正小标宋简体" w:eastAsia="方正小标宋简体"/>
          <w:sz w:val="44"/>
          <w:szCs w:val="44"/>
          <w:highlight w:val="none"/>
        </w:rPr>
        <w:t>中共自贡市自流井区纪委</w:t>
      </w:r>
    </w:p>
    <w:p>
      <w:pPr>
        <w:widowControl/>
        <w:spacing w:line="580" w:lineRule="exact"/>
        <w:jc w:val="center"/>
        <w:rPr>
          <w:rFonts w:ascii="方正小标宋简体" w:eastAsia="方正小标宋简体"/>
          <w:sz w:val="44"/>
          <w:szCs w:val="44"/>
          <w:highlight w:val="none"/>
        </w:rPr>
      </w:pPr>
      <w:r>
        <w:rPr>
          <w:rFonts w:hint="eastAsia" w:ascii="方正小标宋简体" w:eastAsia="方正小标宋简体"/>
          <w:sz w:val="44"/>
          <w:szCs w:val="44"/>
          <w:highlight w:val="none"/>
        </w:rPr>
        <w:t>2020年度部门决算编制的说明</w:t>
      </w:r>
    </w:p>
    <w:p>
      <w:pPr>
        <w:widowControl/>
        <w:jc w:val="center"/>
        <w:rPr>
          <w:rFonts w:ascii="仿宋_GB2312"/>
          <w:sz w:val="28"/>
          <w:szCs w:val="28"/>
          <w:highlight w:val="none"/>
        </w:rPr>
      </w:pPr>
    </w:p>
    <w:p>
      <w:pPr>
        <w:widowControl/>
        <w:jc w:val="center"/>
        <w:rPr>
          <w:rFonts w:ascii="黑体" w:hAnsi="黑体" w:eastAsia="黑体"/>
          <w:color w:val="000000"/>
          <w:sz w:val="48"/>
          <w:szCs w:val="48"/>
          <w:highlight w:val="none"/>
        </w:rPr>
      </w:pPr>
      <w:r>
        <w:rPr>
          <w:rFonts w:hint="eastAsia" w:ascii="黑体" w:hAnsi="黑体" w:eastAsia="黑体"/>
          <w:color w:val="000000"/>
          <w:sz w:val="44"/>
          <w:szCs w:val="44"/>
          <w:highlight w:val="none"/>
        </w:rPr>
        <w:t>目录</w:t>
      </w:r>
    </w:p>
    <w:p>
      <w:pPr>
        <w:pStyle w:val="11"/>
        <w:tabs>
          <w:tab w:val="right" w:leader="dot" w:pos="8306"/>
        </w:tabs>
        <w:spacing w:line="560" w:lineRule="exact"/>
        <w:rPr>
          <w:rFonts w:ascii="仿宋_GB2312" w:hAnsi="仿宋_GB2312" w:eastAsia="仿宋_GB2312" w:cs="仿宋_GB2312"/>
          <w:b w:val="0"/>
          <w:bCs w:val="0"/>
          <w:i w:val="0"/>
          <w:iCs w:val="0"/>
          <w:sz w:val="28"/>
          <w:szCs w:val="28"/>
          <w:highlight w:val="none"/>
        </w:rPr>
      </w:pPr>
      <w:r>
        <w:rPr>
          <w:rFonts w:hint="eastAsia" w:ascii="仿宋_GB2312" w:hAnsi="仿宋_GB2312" w:eastAsia="仿宋_GB2312" w:cs="仿宋_GB2312"/>
          <w:b w:val="0"/>
          <w:bCs w:val="0"/>
          <w:i w:val="0"/>
          <w:iCs w:val="0"/>
          <w:caps/>
          <w:sz w:val="28"/>
          <w:szCs w:val="28"/>
          <w:highlight w:val="none"/>
        </w:rPr>
        <w:fldChar w:fldCharType="begin"/>
      </w:r>
      <w:r>
        <w:rPr>
          <w:rFonts w:hint="eastAsia" w:ascii="仿宋_GB2312" w:hAnsi="仿宋_GB2312" w:eastAsia="仿宋_GB2312" w:cs="仿宋_GB2312"/>
          <w:b w:val="0"/>
          <w:bCs w:val="0"/>
          <w:i w:val="0"/>
          <w:iCs w:val="0"/>
          <w:caps/>
          <w:sz w:val="28"/>
          <w:szCs w:val="28"/>
          <w:highlight w:val="none"/>
        </w:rPr>
        <w:instrText xml:space="preserve"> TOC \o "1-2" \h \z \u </w:instrText>
      </w:r>
      <w:r>
        <w:rPr>
          <w:rFonts w:hint="eastAsia" w:ascii="仿宋_GB2312" w:hAnsi="仿宋_GB2312" w:eastAsia="仿宋_GB2312" w:cs="仿宋_GB2312"/>
          <w:b w:val="0"/>
          <w:bCs w:val="0"/>
          <w:i w:val="0"/>
          <w:iCs w:val="0"/>
          <w:caps/>
          <w:sz w:val="28"/>
          <w:szCs w:val="28"/>
          <w:highlight w:val="none"/>
        </w:rPr>
        <w:fldChar w:fldCharType="separate"/>
      </w:r>
      <w:r>
        <w:rPr>
          <w:highlight w:val="none"/>
        </w:rPr>
        <w:fldChar w:fldCharType="begin"/>
      </w:r>
      <w:r>
        <w:rPr>
          <w:highlight w:val="none"/>
        </w:rPr>
        <w:instrText xml:space="preserve"> HYPERLINK \l "_Toc10567" </w:instrText>
      </w:r>
      <w:r>
        <w:rPr>
          <w:highlight w:val="none"/>
        </w:rPr>
        <w:fldChar w:fldCharType="separate"/>
      </w:r>
      <w:r>
        <w:rPr>
          <w:rFonts w:hint="eastAsia" w:ascii="仿宋_GB2312" w:hAnsi="仿宋_GB2312" w:eastAsia="仿宋_GB2312" w:cs="仿宋_GB2312"/>
          <w:b w:val="0"/>
          <w:bCs w:val="0"/>
          <w:i w:val="0"/>
          <w:iCs w:val="0"/>
          <w:sz w:val="28"/>
          <w:szCs w:val="28"/>
          <w:highlight w:val="none"/>
        </w:rPr>
        <w:t>第一部分 部门概况</w:t>
      </w:r>
      <w:r>
        <w:rPr>
          <w:rFonts w:hint="eastAsia" w:ascii="仿宋_GB2312" w:hAnsi="仿宋_GB2312" w:eastAsia="仿宋_GB2312" w:cs="仿宋_GB2312"/>
          <w:b w:val="0"/>
          <w:bCs w:val="0"/>
          <w:i w:val="0"/>
          <w:iCs w:val="0"/>
          <w:sz w:val="28"/>
          <w:szCs w:val="28"/>
          <w:highlight w:val="none"/>
        </w:rPr>
        <w:tab/>
      </w:r>
      <w:r>
        <w:rPr>
          <w:rFonts w:hint="eastAsia" w:ascii="仿宋_GB2312" w:hAnsi="仿宋_GB2312" w:eastAsia="仿宋_GB2312" w:cs="仿宋_GB2312"/>
          <w:b w:val="0"/>
          <w:bCs w:val="0"/>
          <w:i w:val="0"/>
          <w:iCs w:val="0"/>
          <w:sz w:val="28"/>
          <w:szCs w:val="28"/>
          <w:highlight w:val="none"/>
        </w:rPr>
        <w:fldChar w:fldCharType="begin"/>
      </w:r>
      <w:r>
        <w:rPr>
          <w:rFonts w:hint="eastAsia" w:ascii="仿宋_GB2312" w:hAnsi="仿宋_GB2312" w:eastAsia="仿宋_GB2312" w:cs="仿宋_GB2312"/>
          <w:b w:val="0"/>
          <w:bCs w:val="0"/>
          <w:i w:val="0"/>
          <w:iCs w:val="0"/>
          <w:sz w:val="28"/>
          <w:szCs w:val="28"/>
          <w:highlight w:val="none"/>
        </w:rPr>
        <w:instrText xml:space="preserve"> PAGEREF _Toc10567 \h </w:instrText>
      </w:r>
      <w:r>
        <w:rPr>
          <w:rFonts w:hint="eastAsia" w:ascii="仿宋_GB2312" w:hAnsi="仿宋_GB2312" w:eastAsia="仿宋_GB2312" w:cs="仿宋_GB2312"/>
          <w:b w:val="0"/>
          <w:bCs w:val="0"/>
          <w:i w:val="0"/>
          <w:iCs w:val="0"/>
          <w:sz w:val="28"/>
          <w:szCs w:val="28"/>
          <w:highlight w:val="none"/>
        </w:rPr>
        <w:fldChar w:fldCharType="separate"/>
      </w:r>
      <w:r>
        <w:rPr>
          <w:rFonts w:hint="eastAsia" w:ascii="仿宋_GB2312" w:hAnsi="仿宋_GB2312" w:eastAsia="仿宋_GB2312" w:cs="仿宋_GB2312"/>
          <w:b w:val="0"/>
          <w:bCs w:val="0"/>
          <w:i w:val="0"/>
          <w:iCs w:val="0"/>
          <w:sz w:val="28"/>
          <w:szCs w:val="28"/>
          <w:highlight w:val="none"/>
        </w:rPr>
        <w:t>3</w:t>
      </w:r>
      <w:r>
        <w:rPr>
          <w:rFonts w:hint="eastAsia" w:ascii="仿宋_GB2312" w:hAnsi="仿宋_GB2312" w:eastAsia="仿宋_GB2312" w:cs="仿宋_GB2312"/>
          <w:b w:val="0"/>
          <w:bCs w:val="0"/>
          <w:i w:val="0"/>
          <w:iCs w:val="0"/>
          <w:sz w:val="28"/>
          <w:szCs w:val="28"/>
          <w:highlight w:val="none"/>
        </w:rPr>
        <w:fldChar w:fldCharType="end"/>
      </w:r>
      <w:r>
        <w:rPr>
          <w:rFonts w:hint="eastAsia" w:ascii="仿宋_GB2312" w:hAnsi="仿宋_GB2312" w:eastAsia="仿宋_GB2312" w:cs="仿宋_GB2312"/>
          <w:b w:val="0"/>
          <w:bCs w:val="0"/>
          <w:i w:val="0"/>
          <w:i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"_Toc21498" </w:instrText>
      </w:r>
      <w:r>
        <w:rPr>
          <w:highlight w:val="none"/>
        </w:rPr>
        <w:fldChar w:fldCharType="separate"/>
      </w:r>
      <w:r>
        <w:rPr>
          <w:rFonts w:hint="eastAsia" w:ascii="仿宋_GB2312" w:hAnsi="仿宋_GB2312" w:eastAsia="仿宋_GB2312" w:cs="仿宋_GB2312"/>
          <w:b w:val="0"/>
          <w:bCs w:val="0"/>
          <w:sz w:val="28"/>
          <w:szCs w:val="28"/>
          <w:highlight w:val="none"/>
        </w:rPr>
        <w:t>一、基本职能及主要工作</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_Toc21498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3</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"_Toc6092" </w:instrText>
      </w:r>
      <w:r>
        <w:rPr>
          <w:highlight w:val="none"/>
        </w:rPr>
        <w:fldChar w:fldCharType="separate"/>
      </w:r>
      <w:r>
        <w:rPr>
          <w:rFonts w:hint="eastAsia" w:ascii="仿宋_GB2312" w:hAnsi="仿宋_GB2312" w:eastAsia="仿宋_GB2312" w:cs="仿宋_GB2312"/>
          <w:b w:val="0"/>
          <w:bCs w:val="0"/>
          <w:sz w:val="28"/>
          <w:szCs w:val="28"/>
          <w:highlight w:val="none"/>
        </w:rPr>
        <w:t>二、机构设置</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_Toc6092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1"/>
        <w:tabs>
          <w:tab w:val="right" w:leader="dot" w:pos="8306"/>
        </w:tabs>
        <w:spacing w:line="560" w:lineRule="exact"/>
        <w:rPr>
          <w:rFonts w:ascii="仿宋_GB2312" w:hAnsi="仿宋_GB2312" w:eastAsia="仿宋_GB2312" w:cs="仿宋_GB2312"/>
          <w:b w:val="0"/>
          <w:bCs w:val="0"/>
          <w:i w:val="0"/>
          <w:iCs w:val="0"/>
          <w:sz w:val="28"/>
          <w:szCs w:val="28"/>
          <w:highlight w:val="none"/>
        </w:rPr>
      </w:pPr>
      <w:r>
        <w:rPr>
          <w:highlight w:val="none"/>
        </w:rPr>
        <w:fldChar w:fldCharType="begin"/>
      </w:r>
      <w:r>
        <w:rPr>
          <w:highlight w:val="none"/>
        </w:rPr>
        <w:instrText xml:space="preserve"> HYPERLINK \l "_Toc23109" </w:instrText>
      </w:r>
      <w:r>
        <w:rPr>
          <w:highlight w:val="none"/>
        </w:rPr>
        <w:fldChar w:fldCharType="separate"/>
      </w:r>
      <w:r>
        <w:rPr>
          <w:rFonts w:hint="eastAsia" w:ascii="仿宋_GB2312" w:hAnsi="仿宋_GB2312" w:eastAsia="仿宋_GB2312" w:cs="仿宋_GB2312"/>
          <w:b w:val="0"/>
          <w:bCs w:val="0"/>
          <w:i w:val="0"/>
          <w:iCs w:val="0"/>
          <w:sz w:val="28"/>
          <w:szCs w:val="28"/>
          <w:highlight w:val="none"/>
        </w:rPr>
        <w:t>第二部分 2020年度部门决算情况说明</w:t>
      </w:r>
      <w:r>
        <w:rPr>
          <w:rFonts w:hint="eastAsia" w:ascii="仿宋_GB2312" w:hAnsi="仿宋_GB2312" w:eastAsia="仿宋_GB2312" w:cs="仿宋_GB2312"/>
          <w:b w:val="0"/>
          <w:bCs w:val="0"/>
          <w:i w:val="0"/>
          <w:iCs w:val="0"/>
          <w:sz w:val="28"/>
          <w:szCs w:val="28"/>
          <w:highlight w:val="none"/>
        </w:rPr>
        <w:tab/>
      </w:r>
      <w:r>
        <w:rPr>
          <w:rFonts w:hint="eastAsia" w:ascii="仿宋_GB2312" w:hAnsi="仿宋_GB2312" w:eastAsia="仿宋_GB2312" w:cs="仿宋_GB2312"/>
          <w:b w:val="0"/>
          <w:bCs w:val="0"/>
          <w:i w:val="0"/>
          <w:iCs w:val="0"/>
          <w:sz w:val="28"/>
          <w:szCs w:val="28"/>
          <w:highlight w:val="none"/>
        </w:rPr>
        <w:fldChar w:fldCharType="begin"/>
      </w:r>
      <w:r>
        <w:rPr>
          <w:rFonts w:hint="eastAsia" w:ascii="仿宋_GB2312" w:hAnsi="仿宋_GB2312" w:eastAsia="仿宋_GB2312" w:cs="仿宋_GB2312"/>
          <w:b w:val="0"/>
          <w:bCs w:val="0"/>
          <w:i w:val="0"/>
          <w:iCs w:val="0"/>
          <w:sz w:val="28"/>
          <w:szCs w:val="28"/>
          <w:highlight w:val="none"/>
        </w:rPr>
        <w:instrText xml:space="preserve"> PAGEREF _Toc23109 \h </w:instrText>
      </w:r>
      <w:r>
        <w:rPr>
          <w:rFonts w:hint="eastAsia" w:ascii="仿宋_GB2312" w:hAnsi="仿宋_GB2312" w:eastAsia="仿宋_GB2312" w:cs="仿宋_GB2312"/>
          <w:b w:val="0"/>
          <w:bCs w:val="0"/>
          <w:i w:val="0"/>
          <w:iCs w:val="0"/>
          <w:sz w:val="28"/>
          <w:szCs w:val="28"/>
          <w:highlight w:val="none"/>
        </w:rPr>
        <w:fldChar w:fldCharType="separate"/>
      </w:r>
      <w:r>
        <w:rPr>
          <w:rFonts w:hint="eastAsia" w:ascii="仿宋_GB2312" w:hAnsi="仿宋_GB2312" w:eastAsia="仿宋_GB2312" w:cs="仿宋_GB2312"/>
          <w:b w:val="0"/>
          <w:bCs w:val="0"/>
          <w:i w:val="0"/>
          <w:iCs w:val="0"/>
          <w:sz w:val="28"/>
          <w:szCs w:val="28"/>
          <w:highlight w:val="none"/>
        </w:rPr>
        <w:t>6</w:t>
      </w:r>
      <w:r>
        <w:rPr>
          <w:rFonts w:hint="eastAsia" w:ascii="仿宋_GB2312" w:hAnsi="仿宋_GB2312" w:eastAsia="仿宋_GB2312" w:cs="仿宋_GB2312"/>
          <w:b w:val="0"/>
          <w:bCs w:val="0"/>
          <w:i w:val="0"/>
          <w:iCs w:val="0"/>
          <w:sz w:val="28"/>
          <w:szCs w:val="28"/>
          <w:highlight w:val="none"/>
        </w:rPr>
        <w:fldChar w:fldCharType="end"/>
      </w:r>
      <w:r>
        <w:rPr>
          <w:rFonts w:hint="eastAsia" w:ascii="仿宋_GB2312" w:hAnsi="仿宋_GB2312" w:eastAsia="仿宋_GB2312" w:cs="仿宋_GB2312"/>
          <w:b w:val="0"/>
          <w:bCs w:val="0"/>
          <w:i w:val="0"/>
          <w:i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"_Toc7163" </w:instrText>
      </w:r>
      <w:r>
        <w:rPr>
          <w:highlight w:val="none"/>
        </w:rPr>
        <w:fldChar w:fldCharType="separate"/>
      </w:r>
      <w:r>
        <w:rPr>
          <w:rFonts w:hint="eastAsia" w:ascii="仿宋_GB2312" w:hAnsi="仿宋_GB2312" w:eastAsia="仿宋_GB2312" w:cs="仿宋_GB2312"/>
          <w:b w:val="0"/>
          <w:bCs w:val="0"/>
          <w:sz w:val="28"/>
          <w:szCs w:val="28"/>
          <w:highlight w:val="none"/>
        </w:rPr>
        <w:t>一、 收入支出决算总体情况说明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_Toc7163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"_Toc25258" </w:instrText>
      </w:r>
      <w:r>
        <w:rPr>
          <w:highlight w:val="none"/>
        </w:rPr>
        <w:fldChar w:fldCharType="separate"/>
      </w:r>
      <w:r>
        <w:rPr>
          <w:rFonts w:hint="eastAsia" w:ascii="仿宋_GB2312" w:hAnsi="仿宋_GB2312" w:eastAsia="仿宋_GB2312" w:cs="仿宋_GB2312"/>
          <w:b w:val="0"/>
          <w:bCs w:val="0"/>
          <w:sz w:val="28"/>
          <w:szCs w:val="28"/>
          <w:highlight w:val="none"/>
        </w:rPr>
        <w:t>二、 收入决算情况说明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_Toc25258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7</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"_Toc13725" </w:instrText>
      </w:r>
      <w:r>
        <w:rPr>
          <w:highlight w:val="none"/>
        </w:rPr>
        <w:fldChar w:fldCharType="separate"/>
      </w:r>
      <w:r>
        <w:rPr>
          <w:rFonts w:hint="eastAsia" w:ascii="仿宋_GB2312" w:hAnsi="仿宋_GB2312" w:eastAsia="仿宋_GB2312" w:cs="仿宋_GB2312"/>
          <w:b w:val="0"/>
          <w:bCs w:val="0"/>
          <w:sz w:val="28"/>
          <w:szCs w:val="28"/>
          <w:highlight w:val="none"/>
        </w:rPr>
        <w:t>三、 支出决算情况说明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_Toc13725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7</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"_Toc10354" </w:instrText>
      </w:r>
      <w:r>
        <w:rPr>
          <w:highlight w:val="none"/>
        </w:rPr>
        <w:fldChar w:fldCharType="separate"/>
      </w:r>
      <w:r>
        <w:rPr>
          <w:rFonts w:hint="eastAsia" w:ascii="仿宋_GB2312" w:hAnsi="仿宋_GB2312" w:eastAsia="仿宋_GB2312" w:cs="仿宋_GB2312"/>
          <w:b w:val="0"/>
          <w:bCs w:val="0"/>
          <w:sz w:val="28"/>
          <w:szCs w:val="28"/>
          <w:highlight w:val="none"/>
        </w:rPr>
        <w:t>四、财政拨款收入支出决算总体情况说明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_Toc10354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8</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"_Toc10967" </w:instrText>
      </w:r>
      <w:r>
        <w:rPr>
          <w:highlight w:val="none"/>
        </w:rPr>
        <w:fldChar w:fldCharType="separate"/>
      </w:r>
      <w:r>
        <w:rPr>
          <w:rFonts w:hint="eastAsia" w:ascii="仿宋_GB2312" w:hAnsi="仿宋_GB2312" w:eastAsia="仿宋_GB2312" w:cs="仿宋_GB2312"/>
          <w:b w:val="0"/>
          <w:bCs w:val="0"/>
          <w:sz w:val="28"/>
          <w:szCs w:val="28"/>
          <w:highlight w:val="none"/>
        </w:rPr>
        <w:t>五、一般公共预算财政拨款支出决算情况说明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_Toc10967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9</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"_Toc31021" </w:instrText>
      </w:r>
      <w:r>
        <w:rPr>
          <w:highlight w:val="none"/>
        </w:rPr>
        <w:fldChar w:fldCharType="separate"/>
      </w:r>
      <w:r>
        <w:rPr>
          <w:rFonts w:hint="eastAsia" w:ascii="仿宋_GB2312" w:hAnsi="仿宋_GB2312" w:eastAsia="仿宋_GB2312" w:cs="仿宋_GB2312"/>
          <w:b w:val="0"/>
          <w:bCs w:val="0"/>
          <w:sz w:val="28"/>
          <w:szCs w:val="28"/>
          <w:highlight w:val="none"/>
        </w:rPr>
        <w:t>六、一般公共预算财政拨款基本支出决算情况说明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_Toc31021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11</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"_Toc6926" </w:instrText>
      </w:r>
      <w:r>
        <w:rPr>
          <w:highlight w:val="none"/>
        </w:rPr>
        <w:fldChar w:fldCharType="separate"/>
      </w:r>
      <w:r>
        <w:rPr>
          <w:rFonts w:hint="eastAsia" w:ascii="仿宋_GB2312" w:hAnsi="仿宋_GB2312" w:eastAsia="仿宋_GB2312" w:cs="仿宋_GB2312"/>
          <w:b w:val="0"/>
          <w:bCs w:val="0"/>
          <w:sz w:val="28"/>
          <w:szCs w:val="28"/>
          <w:highlight w:val="none"/>
        </w:rPr>
        <w:t>七、“三公”经费财政拨款支出决算情况说明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_Toc6926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12</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"_Toc9843" </w:instrText>
      </w:r>
      <w:r>
        <w:rPr>
          <w:highlight w:val="none"/>
        </w:rPr>
        <w:fldChar w:fldCharType="separate"/>
      </w:r>
      <w:r>
        <w:rPr>
          <w:rFonts w:hint="eastAsia" w:ascii="仿宋_GB2312" w:hAnsi="仿宋_GB2312" w:eastAsia="仿宋_GB2312" w:cs="仿宋_GB2312"/>
          <w:b w:val="0"/>
          <w:bCs w:val="0"/>
          <w:sz w:val="28"/>
          <w:szCs w:val="28"/>
          <w:highlight w:val="none"/>
        </w:rPr>
        <w:t>八、政府性基金预算支出决算情况说明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_Toc9843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14</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"_Toc10775" </w:instrText>
      </w:r>
      <w:r>
        <w:rPr>
          <w:highlight w:val="none"/>
        </w:rPr>
        <w:fldChar w:fldCharType="separate"/>
      </w:r>
      <w:r>
        <w:rPr>
          <w:rFonts w:hint="eastAsia" w:ascii="仿宋_GB2312" w:hAnsi="仿宋_GB2312" w:eastAsia="仿宋_GB2312" w:cs="仿宋_GB2312"/>
          <w:b w:val="0"/>
          <w:bCs w:val="0"/>
          <w:sz w:val="28"/>
          <w:szCs w:val="28"/>
          <w:highlight w:val="none"/>
        </w:rPr>
        <w:t>九、 国有资本经营预算支出决算情况说明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_Toc10775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14</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"_Toc738" </w:instrText>
      </w:r>
      <w:r>
        <w:rPr>
          <w:highlight w:val="none"/>
        </w:rPr>
        <w:fldChar w:fldCharType="separate"/>
      </w:r>
      <w:r>
        <w:rPr>
          <w:rFonts w:hint="eastAsia" w:ascii="仿宋_GB2312" w:hAnsi="仿宋_GB2312" w:eastAsia="仿宋_GB2312" w:cs="仿宋_GB2312"/>
          <w:b w:val="0"/>
          <w:bCs w:val="0"/>
          <w:sz w:val="28"/>
          <w:szCs w:val="28"/>
          <w:highlight w:val="none"/>
        </w:rPr>
        <w:t>十、其他重要事项的情况说明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_Toc738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14</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1"/>
        <w:tabs>
          <w:tab w:val="right" w:leader="dot" w:pos="8306"/>
        </w:tabs>
        <w:spacing w:line="560" w:lineRule="exact"/>
        <w:rPr>
          <w:rFonts w:ascii="仿宋_GB2312" w:hAnsi="仿宋_GB2312" w:eastAsia="仿宋_GB2312" w:cs="仿宋_GB2312"/>
          <w:b w:val="0"/>
          <w:bCs w:val="0"/>
          <w:i w:val="0"/>
          <w:iCs w:val="0"/>
          <w:sz w:val="28"/>
          <w:szCs w:val="28"/>
          <w:highlight w:val="none"/>
        </w:rPr>
      </w:pPr>
      <w:r>
        <w:rPr>
          <w:highlight w:val="none"/>
        </w:rPr>
        <w:fldChar w:fldCharType="begin"/>
      </w:r>
      <w:r>
        <w:rPr>
          <w:highlight w:val="none"/>
        </w:rPr>
        <w:instrText xml:space="preserve"> HYPERLINK \l "_Toc3536" </w:instrText>
      </w:r>
      <w:r>
        <w:rPr>
          <w:highlight w:val="none"/>
        </w:rPr>
        <w:fldChar w:fldCharType="separate"/>
      </w:r>
      <w:r>
        <w:rPr>
          <w:rFonts w:hint="eastAsia" w:ascii="仿宋_GB2312" w:hAnsi="仿宋_GB2312" w:eastAsia="仿宋_GB2312" w:cs="仿宋_GB2312"/>
          <w:b w:val="0"/>
          <w:bCs w:val="0"/>
          <w:i w:val="0"/>
          <w:iCs w:val="0"/>
          <w:sz w:val="28"/>
          <w:szCs w:val="28"/>
          <w:highlight w:val="none"/>
        </w:rPr>
        <w:t>第三部分 名词解释</w:t>
      </w:r>
      <w:r>
        <w:rPr>
          <w:rFonts w:hint="eastAsia" w:ascii="仿宋_GB2312" w:hAnsi="仿宋_GB2312" w:eastAsia="仿宋_GB2312" w:cs="仿宋_GB2312"/>
          <w:b w:val="0"/>
          <w:bCs w:val="0"/>
          <w:i w:val="0"/>
          <w:iCs w:val="0"/>
          <w:sz w:val="28"/>
          <w:szCs w:val="28"/>
          <w:highlight w:val="none"/>
        </w:rPr>
        <w:tab/>
      </w:r>
      <w:r>
        <w:rPr>
          <w:rFonts w:hint="eastAsia" w:ascii="仿宋_GB2312" w:hAnsi="仿宋_GB2312" w:eastAsia="仿宋_GB2312" w:cs="仿宋_GB2312"/>
          <w:b w:val="0"/>
          <w:bCs w:val="0"/>
          <w:i w:val="0"/>
          <w:iCs w:val="0"/>
          <w:sz w:val="28"/>
          <w:szCs w:val="28"/>
          <w:highlight w:val="none"/>
        </w:rPr>
        <w:fldChar w:fldCharType="begin"/>
      </w:r>
      <w:r>
        <w:rPr>
          <w:rFonts w:hint="eastAsia" w:ascii="仿宋_GB2312" w:hAnsi="仿宋_GB2312" w:eastAsia="仿宋_GB2312" w:cs="仿宋_GB2312"/>
          <w:b w:val="0"/>
          <w:bCs w:val="0"/>
          <w:i w:val="0"/>
          <w:iCs w:val="0"/>
          <w:sz w:val="28"/>
          <w:szCs w:val="28"/>
          <w:highlight w:val="none"/>
        </w:rPr>
        <w:instrText xml:space="preserve"> PAGEREF _Toc3536 \h </w:instrText>
      </w:r>
      <w:r>
        <w:rPr>
          <w:rFonts w:hint="eastAsia" w:ascii="仿宋_GB2312" w:hAnsi="仿宋_GB2312" w:eastAsia="仿宋_GB2312" w:cs="仿宋_GB2312"/>
          <w:b w:val="0"/>
          <w:bCs w:val="0"/>
          <w:i w:val="0"/>
          <w:iCs w:val="0"/>
          <w:sz w:val="28"/>
          <w:szCs w:val="28"/>
          <w:highlight w:val="none"/>
        </w:rPr>
        <w:fldChar w:fldCharType="separate"/>
      </w:r>
      <w:r>
        <w:rPr>
          <w:rFonts w:hint="eastAsia" w:ascii="仿宋_GB2312" w:hAnsi="仿宋_GB2312" w:eastAsia="仿宋_GB2312" w:cs="仿宋_GB2312"/>
          <w:b w:val="0"/>
          <w:bCs w:val="0"/>
          <w:i w:val="0"/>
          <w:iCs w:val="0"/>
          <w:sz w:val="28"/>
          <w:szCs w:val="28"/>
          <w:highlight w:val="none"/>
        </w:rPr>
        <w:t>25</w:t>
      </w:r>
      <w:r>
        <w:rPr>
          <w:rFonts w:hint="eastAsia" w:ascii="仿宋_GB2312" w:hAnsi="仿宋_GB2312" w:eastAsia="仿宋_GB2312" w:cs="仿宋_GB2312"/>
          <w:b w:val="0"/>
          <w:bCs w:val="0"/>
          <w:i w:val="0"/>
          <w:iCs w:val="0"/>
          <w:sz w:val="28"/>
          <w:szCs w:val="28"/>
          <w:highlight w:val="none"/>
        </w:rPr>
        <w:fldChar w:fldCharType="end"/>
      </w:r>
      <w:r>
        <w:rPr>
          <w:rFonts w:hint="eastAsia" w:ascii="仿宋_GB2312" w:hAnsi="仿宋_GB2312" w:eastAsia="仿宋_GB2312" w:cs="仿宋_GB2312"/>
          <w:b w:val="0"/>
          <w:bCs w:val="0"/>
          <w:i w:val="0"/>
          <w:iCs w:val="0"/>
          <w:sz w:val="28"/>
          <w:szCs w:val="28"/>
          <w:highlight w:val="none"/>
        </w:rPr>
        <w:fldChar w:fldCharType="end"/>
      </w:r>
    </w:p>
    <w:p>
      <w:pPr>
        <w:pStyle w:val="11"/>
        <w:tabs>
          <w:tab w:val="right" w:leader="dot" w:pos="8306"/>
        </w:tabs>
        <w:spacing w:line="560" w:lineRule="exact"/>
        <w:rPr>
          <w:rFonts w:ascii="仿宋_GB2312" w:hAnsi="仿宋_GB2312" w:eastAsia="仿宋_GB2312" w:cs="仿宋_GB2312"/>
          <w:b w:val="0"/>
          <w:bCs w:val="0"/>
          <w:i w:val="0"/>
          <w:iCs w:val="0"/>
          <w:sz w:val="28"/>
          <w:szCs w:val="28"/>
          <w:highlight w:val="none"/>
        </w:rPr>
      </w:pPr>
      <w:r>
        <w:rPr>
          <w:highlight w:val="none"/>
        </w:rPr>
        <w:fldChar w:fldCharType="begin"/>
      </w:r>
      <w:r>
        <w:rPr>
          <w:highlight w:val="none"/>
        </w:rPr>
        <w:instrText xml:space="preserve"> HYPERLINK \l "_Toc11207" </w:instrText>
      </w:r>
      <w:r>
        <w:rPr>
          <w:highlight w:val="none"/>
        </w:rPr>
        <w:fldChar w:fldCharType="separate"/>
      </w:r>
      <w:r>
        <w:rPr>
          <w:rFonts w:hint="eastAsia" w:ascii="仿宋_GB2312" w:hAnsi="仿宋_GB2312" w:eastAsia="仿宋_GB2312" w:cs="仿宋_GB2312"/>
          <w:b w:val="0"/>
          <w:bCs w:val="0"/>
          <w:i w:val="0"/>
          <w:iCs w:val="0"/>
          <w:sz w:val="28"/>
          <w:szCs w:val="28"/>
          <w:highlight w:val="none"/>
        </w:rPr>
        <w:t>第四部分 附件</w:t>
      </w:r>
      <w:r>
        <w:rPr>
          <w:rFonts w:hint="eastAsia" w:ascii="仿宋_GB2312" w:hAnsi="仿宋_GB2312" w:eastAsia="仿宋_GB2312" w:cs="仿宋_GB2312"/>
          <w:b w:val="0"/>
          <w:bCs w:val="0"/>
          <w:i w:val="0"/>
          <w:iCs w:val="0"/>
          <w:sz w:val="28"/>
          <w:szCs w:val="28"/>
          <w:highlight w:val="none"/>
        </w:rPr>
        <w:tab/>
      </w:r>
      <w:r>
        <w:rPr>
          <w:rFonts w:hint="eastAsia" w:ascii="仿宋_GB2312" w:hAnsi="仿宋_GB2312" w:eastAsia="仿宋_GB2312" w:cs="仿宋_GB2312"/>
          <w:b w:val="0"/>
          <w:bCs w:val="0"/>
          <w:i w:val="0"/>
          <w:iCs w:val="0"/>
          <w:sz w:val="28"/>
          <w:szCs w:val="28"/>
          <w:highlight w:val="none"/>
        </w:rPr>
        <w:fldChar w:fldCharType="begin"/>
      </w:r>
      <w:r>
        <w:rPr>
          <w:rFonts w:hint="eastAsia" w:ascii="仿宋_GB2312" w:hAnsi="仿宋_GB2312" w:eastAsia="仿宋_GB2312" w:cs="仿宋_GB2312"/>
          <w:b w:val="0"/>
          <w:bCs w:val="0"/>
          <w:i w:val="0"/>
          <w:iCs w:val="0"/>
          <w:sz w:val="28"/>
          <w:szCs w:val="28"/>
          <w:highlight w:val="none"/>
        </w:rPr>
        <w:instrText xml:space="preserve"> PAGEREF _Toc11207 \h </w:instrText>
      </w:r>
      <w:r>
        <w:rPr>
          <w:rFonts w:hint="eastAsia" w:ascii="仿宋_GB2312" w:hAnsi="仿宋_GB2312" w:eastAsia="仿宋_GB2312" w:cs="仿宋_GB2312"/>
          <w:b w:val="0"/>
          <w:bCs w:val="0"/>
          <w:i w:val="0"/>
          <w:iCs w:val="0"/>
          <w:sz w:val="28"/>
          <w:szCs w:val="28"/>
          <w:highlight w:val="none"/>
        </w:rPr>
        <w:fldChar w:fldCharType="separate"/>
      </w:r>
      <w:r>
        <w:rPr>
          <w:rFonts w:hint="eastAsia" w:ascii="仿宋_GB2312" w:hAnsi="仿宋_GB2312" w:eastAsia="仿宋_GB2312" w:cs="仿宋_GB2312"/>
          <w:b w:val="0"/>
          <w:bCs w:val="0"/>
          <w:i w:val="0"/>
          <w:iCs w:val="0"/>
          <w:sz w:val="28"/>
          <w:szCs w:val="28"/>
          <w:highlight w:val="none"/>
        </w:rPr>
        <w:t>28</w:t>
      </w:r>
      <w:r>
        <w:rPr>
          <w:rFonts w:hint="eastAsia" w:ascii="仿宋_GB2312" w:hAnsi="仿宋_GB2312" w:eastAsia="仿宋_GB2312" w:cs="仿宋_GB2312"/>
          <w:b w:val="0"/>
          <w:bCs w:val="0"/>
          <w:i w:val="0"/>
          <w:iCs w:val="0"/>
          <w:sz w:val="28"/>
          <w:szCs w:val="28"/>
          <w:highlight w:val="none"/>
        </w:rPr>
        <w:fldChar w:fldCharType="end"/>
      </w:r>
      <w:r>
        <w:rPr>
          <w:rFonts w:hint="eastAsia" w:ascii="仿宋_GB2312" w:hAnsi="仿宋_GB2312" w:eastAsia="仿宋_GB2312" w:cs="仿宋_GB2312"/>
          <w:b w:val="0"/>
          <w:bCs w:val="0"/>
          <w:i w:val="0"/>
          <w:i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"_Toc22930" </w:instrText>
      </w:r>
      <w:r>
        <w:rPr>
          <w:highlight w:val="none"/>
        </w:rPr>
        <w:fldChar w:fldCharType="separate"/>
      </w:r>
      <w:r>
        <w:rPr>
          <w:rFonts w:hint="eastAsia" w:ascii="仿宋_GB2312" w:hAnsi="仿宋_GB2312" w:eastAsia="仿宋_GB2312" w:cs="仿宋_GB2312"/>
          <w:b w:val="0"/>
          <w:bCs w:val="0"/>
          <w:sz w:val="28"/>
          <w:szCs w:val="28"/>
          <w:highlight w:val="none"/>
        </w:rPr>
        <w:t>附件1</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_Toc22930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28</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"_Toc11602" </w:instrText>
      </w:r>
      <w:r>
        <w:rPr>
          <w:highlight w:val="none"/>
        </w:rPr>
        <w:fldChar w:fldCharType="separate"/>
      </w:r>
      <w:r>
        <w:rPr>
          <w:rFonts w:hint="eastAsia" w:ascii="仿宋_GB2312" w:hAnsi="仿宋_GB2312" w:eastAsia="仿宋_GB2312" w:cs="仿宋_GB2312"/>
          <w:b w:val="0"/>
          <w:bCs w:val="0"/>
          <w:sz w:val="28"/>
          <w:szCs w:val="28"/>
          <w:highlight w:val="none"/>
        </w:rPr>
        <w:t>附件2</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_Toc11602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36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1"/>
        <w:tabs>
          <w:tab w:val="right" w:leader="dot" w:pos="8306"/>
        </w:tabs>
        <w:spacing w:line="560" w:lineRule="exact"/>
        <w:rPr>
          <w:rFonts w:hint="eastAsia" w:ascii="仿宋_GB2312" w:hAnsi="仿宋_GB2312" w:eastAsia="仿宋_GB2312" w:cs="仿宋_GB2312"/>
          <w:b w:val="0"/>
          <w:bCs w:val="0"/>
          <w:i w:val="0"/>
          <w:iCs w:val="0"/>
          <w:sz w:val="28"/>
          <w:szCs w:val="28"/>
          <w:highlight w:val="none"/>
          <w:lang w:val="en-US" w:eastAsia="zh-CN"/>
        </w:rPr>
      </w:pPr>
      <w:r>
        <w:rPr>
          <w:highlight w:val="none"/>
        </w:rPr>
        <w:fldChar w:fldCharType="begin"/>
      </w:r>
      <w:r>
        <w:rPr>
          <w:highlight w:val="none"/>
        </w:rPr>
        <w:instrText xml:space="preserve"> HYPERLINK \l "_Toc32283" </w:instrText>
      </w:r>
      <w:r>
        <w:rPr>
          <w:highlight w:val="none"/>
        </w:rPr>
        <w:fldChar w:fldCharType="separate"/>
      </w:r>
      <w:r>
        <w:rPr>
          <w:rFonts w:hint="eastAsia" w:ascii="仿宋_GB2312" w:hAnsi="仿宋_GB2312" w:eastAsia="仿宋_GB2312" w:cs="仿宋_GB2312"/>
          <w:b w:val="0"/>
          <w:bCs w:val="0"/>
          <w:i w:val="0"/>
          <w:iCs w:val="0"/>
          <w:sz w:val="28"/>
          <w:szCs w:val="28"/>
          <w:highlight w:val="none"/>
        </w:rPr>
        <w:t>第五部分 附表</w:t>
      </w:r>
      <w:r>
        <w:rPr>
          <w:rFonts w:hint="eastAsia" w:ascii="仿宋_GB2312" w:hAnsi="仿宋_GB2312" w:eastAsia="仿宋_GB2312" w:cs="仿宋_GB2312"/>
          <w:b w:val="0"/>
          <w:bCs w:val="0"/>
          <w:i w:val="0"/>
          <w:iCs w:val="0"/>
          <w:sz w:val="28"/>
          <w:szCs w:val="28"/>
          <w:highlight w:val="none"/>
        </w:rPr>
        <w:tab/>
      </w:r>
      <w:r>
        <w:rPr>
          <w:rFonts w:hint="eastAsia" w:ascii="仿宋_GB2312" w:hAnsi="仿宋_GB2312" w:eastAsia="仿宋_GB2312" w:cs="仿宋_GB2312"/>
          <w:b w:val="0"/>
          <w:bCs w:val="0"/>
          <w:i w:val="0"/>
          <w:iCs w:val="0"/>
          <w:sz w:val="28"/>
          <w:szCs w:val="28"/>
          <w:highlight w:val="none"/>
          <w:lang w:val="en-US" w:eastAsia="zh-CN"/>
        </w:rPr>
        <w:t>5</w:t>
      </w:r>
      <w:r>
        <w:rPr>
          <w:rFonts w:hint="eastAsia" w:ascii="仿宋_GB2312" w:hAnsi="仿宋_GB2312" w:eastAsia="仿宋_GB2312" w:cs="仿宋_GB2312"/>
          <w:b w:val="0"/>
          <w:bCs w:val="0"/>
          <w:i w:val="0"/>
          <w:iCs w:val="0"/>
          <w:sz w:val="28"/>
          <w:szCs w:val="28"/>
          <w:highlight w:val="none"/>
        </w:rPr>
        <w:fldChar w:fldCharType="end"/>
      </w:r>
      <w:r>
        <w:rPr>
          <w:rFonts w:hint="eastAsia" w:ascii="仿宋_GB2312" w:hAnsi="仿宋_GB2312" w:eastAsia="仿宋_GB2312" w:cs="仿宋_GB2312"/>
          <w:b w:val="0"/>
          <w:bCs w:val="0"/>
          <w:i w:val="0"/>
          <w:iCs w:val="0"/>
          <w:sz w:val="28"/>
          <w:szCs w:val="28"/>
          <w:highlight w:val="none"/>
          <w:lang w:val="en-US" w:eastAsia="zh-CN"/>
        </w:rPr>
        <w:t>6</w:t>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"_Toc15699" </w:instrText>
      </w:r>
      <w:r>
        <w:rPr>
          <w:highlight w:val="none"/>
        </w:rPr>
        <w:fldChar w:fldCharType="separate"/>
      </w:r>
      <w:r>
        <w:rPr>
          <w:rFonts w:hint="eastAsia" w:ascii="仿宋_GB2312" w:hAnsi="仿宋_GB2312" w:eastAsia="仿宋_GB2312" w:cs="仿宋_GB2312"/>
          <w:b w:val="0"/>
          <w:bCs w:val="0"/>
          <w:sz w:val="28"/>
          <w:szCs w:val="28"/>
          <w:highlight w:val="none"/>
        </w:rPr>
        <w:t>一、收入支出决算总表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_Toc15699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"_Toc27106" </w:instrText>
      </w:r>
      <w:r>
        <w:rPr>
          <w:highlight w:val="none"/>
        </w:rPr>
        <w:fldChar w:fldCharType="separate"/>
      </w:r>
      <w:r>
        <w:rPr>
          <w:rFonts w:hint="eastAsia" w:ascii="仿宋_GB2312" w:hAnsi="仿宋_GB2312" w:eastAsia="仿宋_GB2312" w:cs="仿宋_GB2312"/>
          <w:b w:val="0"/>
          <w:bCs w:val="0"/>
          <w:sz w:val="28"/>
          <w:szCs w:val="28"/>
          <w:highlight w:val="none"/>
        </w:rPr>
        <w:t>二、收入决算表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_Toc27106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"_Toc26817" </w:instrText>
      </w:r>
      <w:r>
        <w:rPr>
          <w:highlight w:val="none"/>
        </w:rPr>
        <w:fldChar w:fldCharType="separate"/>
      </w:r>
      <w:r>
        <w:rPr>
          <w:rFonts w:hint="eastAsia" w:ascii="仿宋_GB2312" w:hAnsi="仿宋_GB2312" w:eastAsia="仿宋_GB2312" w:cs="仿宋_GB2312"/>
          <w:b w:val="0"/>
          <w:bCs w:val="0"/>
          <w:sz w:val="28"/>
          <w:szCs w:val="28"/>
          <w:highlight w:val="none"/>
        </w:rPr>
        <w:t>三、支出决算表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_Toc26817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"_Toc21747" </w:instrText>
      </w:r>
      <w:r>
        <w:rPr>
          <w:highlight w:val="none"/>
        </w:rPr>
        <w:fldChar w:fldCharType="separate"/>
      </w:r>
      <w:r>
        <w:rPr>
          <w:rFonts w:hint="eastAsia" w:ascii="仿宋_GB2312" w:hAnsi="仿宋_GB2312" w:eastAsia="仿宋_GB2312" w:cs="仿宋_GB2312"/>
          <w:b w:val="0"/>
          <w:bCs w:val="0"/>
          <w:sz w:val="28"/>
          <w:szCs w:val="28"/>
          <w:highlight w:val="none"/>
        </w:rPr>
        <w:t>四、财政拨款收入支出决算总表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_Toc21747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"_Toc12959" </w:instrText>
      </w:r>
      <w:r>
        <w:rPr>
          <w:highlight w:val="none"/>
        </w:rPr>
        <w:fldChar w:fldCharType="separate"/>
      </w:r>
      <w:r>
        <w:rPr>
          <w:rFonts w:hint="eastAsia" w:ascii="仿宋_GB2312" w:hAnsi="仿宋_GB2312" w:eastAsia="仿宋_GB2312" w:cs="仿宋_GB2312"/>
          <w:b w:val="0"/>
          <w:bCs w:val="0"/>
          <w:sz w:val="28"/>
          <w:szCs w:val="28"/>
          <w:highlight w:val="none"/>
        </w:rPr>
        <w:t>五、财政拨款支出决算明细表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_Toc12959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"_Toc23749" </w:instrText>
      </w:r>
      <w:r>
        <w:rPr>
          <w:highlight w:val="none"/>
        </w:rPr>
        <w:fldChar w:fldCharType="separate"/>
      </w:r>
      <w:r>
        <w:rPr>
          <w:rFonts w:hint="eastAsia" w:ascii="仿宋_GB2312" w:hAnsi="仿宋_GB2312" w:eastAsia="仿宋_GB2312" w:cs="仿宋_GB2312"/>
          <w:b w:val="0"/>
          <w:bCs w:val="0"/>
          <w:sz w:val="28"/>
          <w:szCs w:val="28"/>
          <w:highlight w:val="none"/>
        </w:rPr>
        <w:t>六、一般公共预算财政拨款支出决算表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_Toc23749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"_Toc22275" </w:instrText>
      </w:r>
      <w:r>
        <w:rPr>
          <w:highlight w:val="none"/>
        </w:rPr>
        <w:fldChar w:fldCharType="separate"/>
      </w:r>
      <w:r>
        <w:rPr>
          <w:rFonts w:hint="eastAsia" w:ascii="仿宋_GB2312" w:hAnsi="仿宋_GB2312" w:eastAsia="仿宋_GB2312" w:cs="仿宋_GB2312"/>
          <w:b w:val="0"/>
          <w:bCs w:val="0"/>
          <w:sz w:val="28"/>
          <w:szCs w:val="28"/>
          <w:highlight w:val="none"/>
        </w:rPr>
        <w:t>七、一般公共预算财政拨款支出决算明细表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_Toc22275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"_Toc30634" </w:instrText>
      </w:r>
      <w:r>
        <w:rPr>
          <w:highlight w:val="none"/>
        </w:rPr>
        <w:fldChar w:fldCharType="separate"/>
      </w:r>
      <w:r>
        <w:rPr>
          <w:rFonts w:hint="eastAsia" w:ascii="仿宋_GB2312" w:hAnsi="仿宋_GB2312" w:eastAsia="仿宋_GB2312" w:cs="仿宋_GB2312"/>
          <w:b w:val="0"/>
          <w:bCs w:val="0"/>
          <w:sz w:val="28"/>
          <w:szCs w:val="28"/>
          <w:highlight w:val="none"/>
        </w:rPr>
        <w:t>八、一般公共预算财政拨款基本支出决算表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_Toc30634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"_Toc15170" </w:instrText>
      </w:r>
      <w:r>
        <w:rPr>
          <w:highlight w:val="none"/>
        </w:rPr>
        <w:fldChar w:fldCharType="separate"/>
      </w:r>
      <w:r>
        <w:rPr>
          <w:rFonts w:hint="eastAsia" w:ascii="仿宋_GB2312" w:hAnsi="仿宋_GB2312" w:eastAsia="仿宋_GB2312" w:cs="仿宋_GB2312"/>
          <w:b w:val="0"/>
          <w:bCs w:val="0"/>
          <w:sz w:val="28"/>
          <w:szCs w:val="28"/>
          <w:highlight w:val="none"/>
        </w:rPr>
        <w:t>九、一般公共预算财政拨款项目支出决算表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_Toc15170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"_Toc17603" </w:instrText>
      </w:r>
      <w:r>
        <w:rPr>
          <w:highlight w:val="none"/>
        </w:rPr>
        <w:fldChar w:fldCharType="separate"/>
      </w:r>
      <w:r>
        <w:rPr>
          <w:rFonts w:hint="eastAsia" w:ascii="仿宋_GB2312" w:hAnsi="仿宋_GB2312" w:eastAsia="仿宋_GB2312" w:cs="仿宋_GB2312"/>
          <w:b w:val="0"/>
          <w:bCs w:val="0"/>
          <w:sz w:val="28"/>
          <w:szCs w:val="28"/>
          <w:highlight w:val="none"/>
        </w:rPr>
        <w:t>十、一般公共预算财政拨款“三公”经费支出决算表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_Toc17603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"_Toc7313" </w:instrText>
      </w:r>
      <w:r>
        <w:rPr>
          <w:highlight w:val="none"/>
        </w:rPr>
        <w:fldChar w:fldCharType="separate"/>
      </w:r>
      <w:r>
        <w:rPr>
          <w:rFonts w:hint="eastAsia" w:ascii="仿宋_GB2312" w:hAnsi="仿宋_GB2312" w:eastAsia="仿宋_GB2312" w:cs="仿宋_GB2312"/>
          <w:b w:val="0"/>
          <w:bCs w:val="0"/>
          <w:sz w:val="28"/>
          <w:szCs w:val="28"/>
          <w:highlight w:val="none"/>
        </w:rPr>
        <w:t>十一、政府性基金预算财政拨款收入支出决算表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_Toc7313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"_Toc9382" </w:instrText>
      </w:r>
      <w:r>
        <w:rPr>
          <w:highlight w:val="none"/>
        </w:rPr>
        <w:fldChar w:fldCharType="separate"/>
      </w:r>
      <w:r>
        <w:rPr>
          <w:rFonts w:hint="eastAsia" w:ascii="仿宋_GB2312" w:hAnsi="仿宋_GB2312" w:eastAsia="仿宋_GB2312" w:cs="仿宋_GB2312"/>
          <w:b w:val="0"/>
          <w:bCs w:val="0"/>
          <w:sz w:val="28"/>
          <w:szCs w:val="28"/>
          <w:highlight w:val="none"/>
        </w:rPr>
        <w:t>十二、政府性基金预算财政拨款“三公”经费支出决算表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_Toc9382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"_Toc22683" </w:instrText>
      </w:r>
      <w:r>
        <w:rPr>
          <w:highlight w:val="none"/>
        </w:rPr>
        <w:fldChar w:fldCharType="separate"/>
      </w:r>
      <w:r>
        <w:rPr>
          <w:rFonts w:hint="eastAsia" w:ascii="仿宋_GB2312" w:hAnsi="仿宋_GB2312" w:eastAsia="仿宋_GB2312" w:cs="仿宋_GB2312"/>
          <w:b w:val="0"/>
          <w:bCs w:val="0"/>
          <w:sz w:val="28"/>
          <w:szCs w:val="28"/>
          <w:highlight w:val="none"/>
        </w:rPr>
        <w:t>十三、国有资本经营预算财政拨款收入支出决算表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_Toc22683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"_Toc10257" </w:instrText>
      </w:r>
      <w:r>
        <w:rPr>
          <w:highlight w:val="none"/>
        </w:rPr>
        <w:fldChar w:fldCharType="separate"/>
      </w:r>
      <w:r>
        <w:rPr>
          <w:rFonts w:hint="eastAsia" w:ascii="仿宋_GB2312" w:hAnsi="仿宋_GB2312" w:eastAsia="仿宋_GB2312" w:cs="仿宋_GB2312"/>
          <w:b w:val="0"/>
          <w:bCs w:val="0"/>
          <w:sz w:val="28"/>
          <w:szCs w:val="28"/>
          <w:highlight w:val="none"/>
        </w:rPr>
        <w:t>十四、国有资本经营预算财政拨款支出决算表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_Toc10257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spacing w:line="560" w:lineRule="exact"/>
        <w:ind w:firstLine="2100" w:firstLineChars="750"/>
        <w:rPr>
          <w:rFonts w:ascii="仿宋_GB2312" w:hAnsi="仿宋"/>
          <w:color w:val="FF0000"/>
          <w:szCs w:val="32"/>
          <w:highlight w:val="none"/>
        </w:rPr>
      </w:pPr>
      <w:r>
        <w:rPr>
          <w:rFonts w:hint="eastAsia" w:ascii="仿宋_GB2312" w:hAnsi="仿宋_GB2312" w:cs="仿宋_GB2312"/>
          <w:caps/>
          <w:sz w:val="28"/>
          <w:szCs w:val="28"/>
          <w:highlight w:val="none"/>
        </w:rPr>
        <w:fldChar w:fldCharType="end"/>
      </w:r>
    </w:p>
    <w:p>
      <w:pPr>
        <w:rPr>
          <w:highlight w:val="none"/>
        </w:rPr>
      </w:pPr>
      <w:r>
        <w:rPr>
          <w:highlight w:val="none"/>
        </w:rPr>
        <w:br w:type="page"/>
      </w:r>
    </w:p>
    <w:p>
      <w:pPr>
        <w:pStyle w:val="3"/>
        <w:jc w:val="center"/>
        <w:rPr>
          <w:rStyle w:val="20"/>
          <w:rFonts w:ascii="黑体" w:hAnsi="黑体" w:eastAsia="黑体"/>
          <w:b/>
          <w:bCs w:val="0"/>
          <w:highlight w:val="none"/>
        </w:rPr>
      </w:pPr>
      <w:bookmarkStart w:id="0" w:name="_Toc10567"/>
      <w:r>
        <w:rPr>
          <w:rFonts w:hint="eastAsia" w:ascii="黑体" w:hAnsi="黑体" w:eastAsia="黑体"/>
          <w:b w:val="0"/>
          <w:highlight w:val="none"/>
        </w:rPr>
        <w:t>第一部分</w:t>
      </w:r>
      <w:r>
        <w:rPr>
          <w:rStyle w:val="20"/>
          <w:rFonts w:hint="eastAsia" w:ascii="黑体" w:hAnsi="黑体" w:eastAsia="黑体"/>
          <w:b w:val="0"/>
          <w:bCs w:val="0"/>
          <w:highlight w:val="none"/>
        </w:rPr>
        <w:t>部门概况</w:t>
      </w:r>
      <w:bookmarkEnd w:id="0"/>
    </w:p>
    <w:p>
      <w:pPr>
        <w:pStyle w:val="4"/>
        <w:rPr>
          <w:rStyle w:val="21"/>
          <w:rFonts w:ascii="仿宋" w:hAnsi="仿宋" w:eastAsia="仿宋"/>
          <w:b w:val="0"/>
          <w:bCs w:val="0"/>
          <w:highlight w:val="none"/>
        </w:rPr>
      </w:pPr>
      <w:bookmarkStart w:id="1" w:name="_Toc15377197"/>
      <w:bookmarkStart w:id="2" w:name="_Toc15396600"/>
      <w:bookmarkStart w:id="3" w:name="_Toc21498"/>
      <w:r>
        <w:rPr>
          <w:rFonts w:hint="eastAsia" w:ascii="黑体" w:hAnsi="黑体" w:eastAsia="黑体"/>
          <w:b w:val="0"/>
          <w:color w:val="000000"/>
          <w:highlight w:val="none"/>
        </w:rPr>
        <w:t>一、基</w:t>
      </w:r>
      <w:r>
        <w:rPr>
          <w:rStyle w:val="21"/>
          <w:rFonts w:hint="eastAsia" w:ascii="黑体" w:hAnsi="黑体" w:eastAsia="黑体"/>
          <w:b w:val="0"/>
          <w:bCs w:val="0"/>
          <w:highlight w:val="none"/>
        </w:rPr>
        <w:t>本职能及主要工作</w:t>
      </w:r>
      <w:bookmarkEnd w:id="1"/>
      <w:bookmarkEnd w:id="2"/>
      <w:bookmarkEnd w:id="3"/>
    </w:p>
    <w:p>
      <w:pPr>
        <w:pStyle w:val="6"/>
        <w:adjustRightInd w:val="0"/>
        <w:snapToGrid w:val="0"/>
        <w:spacing w:before="93" w:line="600" w:lineRule="exact"/>
        <w:ind w:firstLine="672" w:firstLineChars="210"/>
        <w:outlineLvl w:val="2"/>
        <w:rPr>
          <w:rFonts w:ascii="仿宋" w:hAnsi="仿宋" w:eastAsia="仿宋"/>
          <w:bCs/>
          <w:sz w:val="32"/>
          <w:szCs w:val="32"/>
          <w:highlight w:val="none"/>
        </w:rPr>
      </w:pPr>
      <w:bookmarkStart w:id="4" w:name="_Toc15378445"/>
      <w:bookmarkStart w:id="5" w:name="_Toc15377198"/>
      <w:r>
        <w:rPr>
          <w:rFonts w:hint="eastAsia" w:ascii="仿宋" w:hAnsi="仿宋" w:eastAsia="仿宋"/>
          <w:bCs/>
          <w:color w:val="000000"/>
          <w:sz w:val="32"/>
          <w:szCs w:val="32"/>
          <w:highlight w:val="none"/>
        </w:rPr>
        <w:t>（一）中共自贡市自流井区纪委</w:t>
      </w:r>
      <w:r>
        <w:rPr>
          <w:rFonts w:hint="eastAsia" w:ascii="仿宋" w:hAnsi="仿宋" w:eastAsia="仿宋"/>
          <w:bCs/>
          <w:color w:val="000000"/>
          <w:sz w:val="32"/>
          <w:szCs w:val="32"/>
          <w:highlight w:val="none"/>
          <w:lang w:val="en-US" w:eastAsia="zh-CN"/>
        </w:rPr>
        <w:t>部门</w:t>
      </w:r>
      <w:r>
        <w:rPr>
          <w:rFonts w:hint="eastAsia" w:ascii="仿宋" w:hAnsi="仿宋" w:eastAsia="仿宋"/>
          <w:bCs/>
          <w:color w:val="000000"/>
          <w:sz w:val="32"/>
          <w:szCs w:val="32"/>
          <w:highlight w:val="none"/>
        </w:rPr>
        <w:t>主要职能。</w:t>
      </w:r>
      <w:bookmarkEnd w:id="4"/>
      <w:bookmarkEnd w:id="5"/>
      <w:bookmarkStart w:id="6" w:name="_Toc15378446"/>
      <w:bookmarkStart w:id="7" w:name="_Toc15377199"/>
    </w:p>
    <w:p>
      <w:pPr>
        <w:spacing w:line="592" w:lineRule="exact"/>
        <w:ind w:firstLine="640" w:firstLineChars="200"/>
        <w:rPr>
          <w:szCs w:val="32"/>
          <w:highlight w:val="none"/>
        </w:rPr>
      </w:pPr>
      <w:r>
        <w:rPr>
          <w:szCs w:val="32"/>
          <w:highlight w:val="none"/>
        </w:rPr>
        <w:t>（</w:t>
      </w:r>
      <w:r>
        <w:rPr>
          <w:rFonts w:hint="eastAsia"/>
          <w:szCs w:val="32"/>
          <w:highlight w:val="none"/>
        </w:rPr>
        <w:t>1</w:t>
      </w:r>
      <w:r>
        <w:rPr>
          <w:szCs w:val="32"/>
          <w:highlight w:val="none"/>
        </w:rPr>
        <w:t>）负责党的纪律检查工作，协助区委推进全面从严治党、加强党风</w:t>
      </w:r>
      <w:r>
        <w:rPr>
          <w:rFonts w:hint="eastAsia"/>
          <w:szCs w:val="32"/>
          <w:highlight w:val="none"/>
          <w:lang w:val="en-US" w:eastAsia="zh-CN"/>
        </w:rPr>
        <w:t>廉政</w:t>
      </w:r>
      <w:r>
        <w:rPr>
          <w:szCs w:val="32"/>
          <w:highlight w:val="none"/>
        </w:rPr>
        <w:t>建设和组织协调反腐败工作。</w:t>
      </w:r>
    </w:p>
    <w:p>
      <w:pPr>
        <w:spacing w:line="592" w:lineRule="exact"/>
        <w:ind w:firstLine="640" w:firstLineChars="200"/>
        <w:rPr>
          <w:szCs w:val="32"/>
          <w:highlight w:val="none"/>
        </w:rPr>
      </w:pPr>
      <w:r>
        <w:rPr>
          <w:szCs w:val="32"/>
          <w:highlight w:val="none"/>
        </w:rPr>
        <w:t>（</w:t>
      </w:r>
      <w:r>
        <w:rPr>
          <w:rFonts w:hint="eastAsia"/>
          <w:szCs w:val="32"/>
          <w:highlight w:val="none"/>
        </w:rPr>
        <w:t>2</w:t>
      </w:r>
      <w:r>
        <w:rPr>
          <w:szCs w:val="32"/>
          <w:highlight w:val="none"/>
        </w:rPr>
        <w:t>）依照党的章程和其他党内法规履行监督、执纪、问责职责。</w:t>
      </w:r>
    </w:p>
    <w:p>
      <w:pPr>
        <w:spacing w:line="592" w:lineRule="exact"/>
        <w:ind w:firstLine="640" w:firstLineChars="200"/>
        <w:rPr>
          <w:szCs w:val="32"/>
          <w:highlight w:val="none"/>
        </w:rPr>
      </w:pPr>
      <w:r>
        <w:rPr>
          <w:szCs w:val="32"/>
          <w:highlight w:val="none"/>
        </w:rPr>
        <w:t>（</w:t>
      </w:r>
      <w:r>
        <w:rPr>
          <w:rFonts w:hint="eastAsia"/>
          <w:szCs w:val="32"/>
          <w:highlight w:val="none"/>
        </w:rPr>
        <w:t>3</w:t>
      </w:r>
      <w:r>
        <w:rPr>
          <w:szCs w:val="32"/>
          <w:highlight w:val="none"/>
        </w:rPr>
        <w:t>）负责全区监察工作。依法对区委管理的行使公权力的公职人员进行监察，调查职务违法和职务犯罪，开展廉政建设和反腐败工作。</w:t>
      </w:r>
    </w:p>
    <w:p>
      <w:pPr>
        <w:spacing w:line="592" w:lineRule="exact"/>
        <w:ind w:firstLine="640" w:firstLineChars="200"/>
        <w:rPr>
          <w:szCs w:val="32"/>
          <w:highlight w:val="none"/>
        </w:rPr>
      </w:pPr>
      <w:r>
        <w:rPr>
          <w:szCs w:val="32"/>
          <w:highlight w:val="none"/>
        </w:rPr>
        <w:t>（</w:t>
      </w:r>
      <w:r>
        <w:rPr>
          <w:rFonts w:hint="eastAsia"/>
          <w:szCs w:val="32"/>
          <w:highlight w:val="none"/>
        </w:rPr>
        <w:t>4</w:t>
      </w:r>
      <w:r>
        <w:rPr>
          <w:szCs w:val="32"/>
          <w:highlight w:val="none"/>
        </w:rPr>
        <w:t>）依照法律规定履行监督、调查、处置职责。</w:t>
      </w:r>
    </w:p>
    <w:p>
      <w:pPr>
        <w:spacing w:line="592" w:lineRule="exact"/>
        <w:ind w:firstLine="640" w:firstLineChars="200"/>
        <w:rPr>
          <w:szCs w:val="32"/>
          <w:highlight w:val="none"/>
        </w:rPr>
      </w:pPr>
      <w:r>
        <w:rPr>
          <w:szCs w:val="32"/>
          <w:highlight w:val="none"/>
        </w:rPr>
        <w:t>（</w:t>
      </w:r>
      <w:r>
        <w:rPr>
          <w:rFonts w:hint="eastAsia"/>
          <w:szCs w:val="32"/>
          <w:highlight w:val="none"/>
        </w:rPr>
        <w:t>5</w:t>
      </w:r>
      <w:r>
        <w:rPr>
          <w:szCs w:val="32"/>
          <w:highlight w:val="none"/>
        </w:rPr>
        <w:t>）负责组织协调全面从严治党、党风廉政建设和反腐败宣传教育工作。</w:t>
      </w:r>
    </w:p>
    <w:p>
      <w:pPr>
        <w:spacing w:line="592" w:lineRule="exact"/>
        <w:ind w:firstLine="640" w:firstLineChars="200"/>
        <w:rPr>
          <w:szCs w:val="32"/>
          <w:highlight w:val="none"/>
        </w:rPr>
      </w:pPr>
      <w:r>
        <w:rPr>
          <w:szCs w:val="32"/>
          <w:highlight w:val="none"/>
        </w:rPr>
        <w:t>（</w:t>
      </w:r>
      <w:r>
        <w:rPr>
          <w:rFonts w:hint="eastAsia"/>
          <w:szCs w:val="32"/>
          <w:highlight w:val="none"/>
        </w:rPr>
        <w:t>6</w:t>
      </w:r>
      <w:r>
        <w:rPr>
          <w:szCs w:val="32"/>
          <w:highlight w:val="none"/>
        </w:rPr>
        <w:t>）负责综合分析全面从严治党、党风廉政建设和反腐败工作情况，对纪检监察工作重要理论及实践问题进行调查研究。</w:t>
      </w:r>
    </w:p>
    <w:p>
      <w:pPr>
        <w:spacing w:line="592" w:lineRule="exact"/>
        <w:ind w:firstLine="640" w:firstLineChars="200"/>
        <w:rPr>
          <w:szCs w:val="32"/>
          <w:highlight w:val="none"/>
        </w:rPr>
      </w:pPr>
      <w:r>
        <w:rPr>
          <w:szCs w:val="32"/>
          <w:highlight w:val="none"/>
        </w:rPr>
        <w:t>（</w:t>
      </w:r>
      <w:r>
        <w:rPr>
          <w:rFonts w:hint="eastAsia"/>
          <w:szCs w:val="32"/>
          <w:highlight w:val="none"/>
        </w:rPr>
        <w:t>7</w:t>
      </w:r>
      <w:r>
        <w:rPr>
          <w:szCs w:val="32"/>
          <w:highlight w:val="none"/>
        </w:rPr>
        <w:t>）在市纪委监委的领导下，加强对反腐败国际追逃追赃和防逃工作的组织协调，督促有关单位做好相关工作。</w:t>
      </w:r>
    </w:p>
    <w:p>
      <w:pPr>
        <w:spacing w:line="592" w:lineRule="exact"/>
        <w:ind w:firstLine="640" w:firstLineChars="200"/>
        <w:rPr>
          <w:szCs w:val="32"/>
          <w:highlight w:val="none"/>
        </w:rPr>
      </w:pPr>
      <w:r>
        <w:rPr>
          <w:szCs w:val="32"/>
          <w:highlight w:val="none"/>
        </w:rPr>
        <w:t>（</w:t>
      </w:r>
      <w:r>
        <w:rPr>
          <w:rFonts w:hint="eastAsia"/>
          <w:szCs w:val="32"/>
          <w:highlight w:val="none"/>
        </w:rPr>
        <w:t>8</w:t>
      </w:r>
      <w:r>
        <w:rPr>
          <w:szCs w:val="32"/>
          <w:highlight w:val="none"/>
        </w:rPr>
        <w:t>）根据干部管理权限，负责纪检监察系统领导班子建设、干部队伍建设和组织建设的综合规划、政策研究、制度建设和业务指导。</w:t>
      </w:r>
    </w:p>
    <w:p>
      <w:pPr>
        <w:spacing w:line="592" w:lineRule="exact"/>
        <w:ind w:firstLine="640" w:firstLineChars="200"/>
        <w:rPr>
          <w:szCs w:val="32"/>
          <w:highlight w:val="none"/>
        </w:rPr>
      </w:pPr>
      <w:r>
        <w:rPr>
          <w:rFonts w:hint="eastAsia"/>
          <w:szCs w:val="32"/>
          <w:highlight w:val="none"/>
        </w:rPr>
        <w:t>（9）</w:t>
      </w:r>
      <w:r>
        <w:rPr>
          <w:szCs w:val="32"/>
          <w:highlight w:val="none"/>
        </w:rPr>
        <w:t>负责职责范围内的安全生产和职业健康、生态环境保护</w:t>
      </w:r>
      <w:r>
        <w:rPr>
          <w:rFonts w:hint="eastAsia"/>
          <w:szCs w:val="32"/>
          <w:highlight w:val="none"/>
        </w:rPr>
        <w:t>等</w:t>
      </w:r>
      <w:r>
        <w:rPr>
          <w:szCs w:val="32"/>
          <w:highlight w:val="none"/>
        </w:rPr>
        <w:t>工作</w:t>
      </w:r>
      <w:r>
        <w:rPr>
          <w:rFonts w:hint="eastAsia"/>
          <w:szCs w:val="32"/>
          <w:highlight w:val="none"/>
        </w:rPr>
        <w:t>。</w:t>
      </w:r>
    </w:p>
    <w:p>
      <w:pPr>
        <w:spacing w:line="592" w:lineRule="exact"/>
        <w:ind w:firstLine="640" w:firstLineChars="200"/>
        <w:rPr>
          <w:szCs w:val="32"/>
          <w:highlight w:val="none"/>
        </w:rPr>
      </w:pPr>
      <w:r>
        <w:rPr>
          <w:szCs w:val="32"/>
          <w:highlight w:val="none"/>
        </w:rPr>
        <w:t>（</w:t>
      </w:r>
      <w:r>
        <w:rPr>
          <w:rFonts w:hint="eastAsia"/>
          <w:szCs w:val="32"/>
          <w:highlight w:val="none"/>
        </w:rPr>
        <w:t>10</w:t>
      </w:r>
      <w:r>
        <w:rPr>
          <w:szCs w:val="32"/>
          <w:highlight w:val="none"/>
        </w:rPr>
        <w:t>）完成区委和市纪委监委交办的其他任务。</w:t>
      </w:r>
    </w:p>
    <w:p>
      <w:pPr>
        <w:snapToGrid w:val="0"/>
        <w:spacing w:line="520" w:lineRule="exact"/>
        <w:ind w:firstLine="640" w:firstLineChars="200"/>
        <w:rPr>
          <w:szCs w:val="32"/>
          <w:highlight w:val="none"/>
        </w:rPr>
      </w:pPr>
      <w:r>
        <w:rPr>
          <w:rFonts w:hint="eastAsia" w:ascii="仿宋_GB2312" w:hAnsi="仿宋"/>
          <w:szCs w:val="32"/>
          <w:highlight w:val="none"/>
        </w:rPr>
        <w:t>2.</w:t>
      </w:r>
      <w:r>
        <w:rPr>
          <w:rFonts w:hint="eastAsia"/>
          <w:szCs w:val="32"/>
          <w:highlight w:val="none"/>
        </w:rPr>
        <w:t>人员情况。</w:t>
      </w:r>
      <w:r>
        <w:rPr>
          <w:szCs w:val="32"/>
          <w:highlight w:val="none"/>
        </w:rPr>
        <w:t>机关</w:t>
      </w:r>
      <w:r>
        <w:rPr>
          <w:rFonts w:hint="eastAsia"/>
          <w:szCs w:val="32"/>
          <w:highlight w:val="none"/>
        </w:rPr>
        <w:t>核</w:t>
      </w:r>
      <w:r>
        <w:rPr>
          <w:szCs w:val="32"/>
          <w:highlight w:val="none"/>
        </w:rPr>
        <w:t>有行政编制32名，事业编制3名</w:t>
      </w:r>
      <w:r>
        <w:rPr>
          <w:rFonts w:hint="eastAsia"/>
          <w:szCs w:val="32"/>
          <w:highlight w:val="none"/>
          <w:lang w:eastAsia="zh-CN"/>
        </w:rPr>
        <w:t>；</w:t>
      </w:r>
      <w:r>
        <w:rPr>
          <w:szCs w:val="32"/>
          <w:highlight w:val="none"/>
        </w:rPr>
        <w:t>实</w:t>
      </w:r>
      <w:r>
        <w:rPr>
          <w:rFonts w:hint="eastAsia"/>
          <w:szCs w:val="32"/>
          <w:highlight w:val="none"/>
          <w:lang w:val="en-US" w:eastAsia="zh-CN"/>
        </w:rPr>
        <w:t>有</w:t>
      </w:r>
      <w:r>
        <w:rPr>
          <w:szCs w:val="32"/>
          <w:highlight w:val="none"/>
        </w:rPr>
        <w:t>在编在岗人员</w:t>
      </w:r>
      <w:r>
        <w:rPr>
          <w:rFonts w:hint="eastAsia"/>
          <w:szCs w:val="32"/>
          <w:highlight w:val="none"/>
        </w:rPr>
        <w:t>32</w:t>
      </w:r>
      <w:r>
        <w:rPr>
          <w:szCs w:val="32"/>
          <w:highlight w:val="none"/>
        </w:rPr>
        <w:t>名（含事业编</w:t>
      </w:r>
      <w:r>
        <w:rPr>
          <w:rFonts w:hint="eastAsia"/>
          <w:szCs w:val="32"/>
          <w:highlight w:val="none"/>
        </w:rPr>
        <w:t>2</w:t>
      </w:r>
      <w:r>
        <w:rPr>
          <w:szCs w:val="32"/>
          <w:highlight w:val="none"/>
        </w:rPr>
        <w:t>名）</w:t>
      </w:r>
      <w:r>
        <w:rPr>
          <w:rFonts w:hint="eastAsia"/>
          <w:szCs w:val="32"/>
          <w:highlight w:val="none"/>
          <w:lang w:eastAsia="zh-CN"/>
        </w:rPr>
        <w:t>，</w:t>
      </w:r>
      <w:r>
        <w:rPr>
          <w:szCs w:val="32"/>
          <w:highlight w:val="none"/>
        </w:rPr>
        <w:t>聘用人员1名。委机关领导职数</w:t>
      </w:r>
      <w:r>
        <w:rPr>
          <w:rFonts w:hint="eastAsia"/>
          <w:szCs w:val="32"/>
          <w:highlight w:val="none"/>
        </w:rPr>
        <w:t>21</w:t>
      </w:r>
      <w:r>
        <w:rPr>
          <w:szCs w:val="32"/>
          <w:highlight w:val="none"/>
        </w:rPr>
        <w:t>名，实有科级以上领导干部</w:t>
      </w:r>
      <w:r>
        <w:rPr>
          <w:rFonts w:hint="eastAsia"/>
          <w:szCs w:val="32"/>
          <w:highlight w:val="none"/>
        </w:rPr>
        <w:t>20</w:t>
      </w:r>
      <w:r>
        <w:rPr>
          <w:szCs w:val="32"/>
          <w:highlight w:val="none"/>
        </w:rPr>
        <w:t>名</w:t>
      </w:r>
      <w:r>
        <w:rPr>
          <w:rFonts w:hint="eastAsia"/>
          <w:szCs w:val="32"/>
          <w:highlight w:val="none"/>
        </w:rPr>
        <w:t>，</w:t>
      </w:r>
      <w:r>
        <w:rPr>
          <w:szCs w:val="32"/>
          <w:highlight w:val="none"/>
        </w:rPr>
        <w:t>其中委班子</w:t>
      </w:r>
      <w:r>
        <w:rPr>
          <w:rFonts w:hint="eastAsia"/>
          <w:szCs w:val="32"/>
          <w:highlight w:val="none"/>
          <w:lang w:val="en-US" w:eastAsia="zh-CN"/>
        </w:rPr>
        <w:t>成员</w:t>
      </w:r>
      <w:r>
        <w:rPr>
          <w:rFonts w:hint="eastAsia"/>
          <w:szCs w:val="32"/>
          <w:highlight w:val="none"/>
        </w:rPr>
        <w:t>8</w:t>
      </w:r>
      <w:r>
        <w:rPr>
          <w:szCs w:val="32"/>
          <w:highlight w:val="none"/>
        </w:rPr>
        <w:t>名</w:t>
      </w:r>
      <w:r>
        <w:rPr>
          <w:rFonts w:hint="eastAsia"/>
          <w:szCs w:val="32"/>
          <w:highlight w:val="none"/>
        </w:rPr>
        <w:t>。</w:t>
      </w:r>
      <w:r>
        <w:rPr>
          <w:rFonts w:hint="eastAsia"/>
          <w:szCs w:val="32"/>
          <w:highlight w:val="none"/>
          <w:lang w:val="en-US" w:eastAsia="zh-CN"/>
        </w:rPr>
        <w:t>派驻纪检监察组织9个，编制数35个，实有在编人员32人。</w:t>
      </w:r>
      <w:r>
        <w:rPr>
          <w:rFonts w:hint="eastAsia"/>
          <w:szCs w:val="32"/>
          <w:highlight w:val="none"/>
        </w:rPr>
        <w:t>（2020年12月数据）</w:t>
      </w:r>
    </w:p>
    <w:p>
      <w:pPr>
        <w:pStyle w:val="6"/>
        <w:adjustRightInd w:val="0"/>
        <w:snapToGrid w:val="0"/>
        <w:spacing w:before="93" w:line="600" w:lineRule="exact"/>
        <w:ind w:firstLine="672" w:firstLineChars="210"/>
        <w:outlineLvl w:val="2"/>
        <w:rPr>
          <w:rFonts w:hint="eastAsia" w:ascii="仿宋" w:hAnsi="仿宋" w:eastAsia="仿宋"/>
          <w:bCs/>
          <w:color w:val="000000"/>
          <w:sz w:val="32"/>
          <w:szCs w:val="32"/>
          <w:highlight w:val="none"/>
        </w:rPr>
      </w:pPr>
      <w:r>
        <w:rPr>
          <w:rFonts w:hint="eastAsia" w:ascii="仿宋" w:hAnsi="仿宋" w:eastAsia="仿宋"/>
          <w:bCs/>
          <w:color w:val="000000"/>
          <w:sz w:val="32"/>
          <w:szCs w:val="32"/>
          <w:highlight w:val="none"/>
        </w:rPr>
        <w:t>（二）</w:t>
      </w:r>
      <w:r>
        <w:rPr>
          <w:rFonts w:ascii="仿宋" w:hAnsi="仿宋" w:eastAsia="仿宋"/>
          <w:bCs/>
          <w:color w:val="000000"/>
          <w:sz w:val="32"/>
          <w:szCs w:val="32"/>
          <w:highlight w:val="none"/>
        </w:rPr>
        <w:t>2020</w:t>
      </w:r>
      <w:r>
        <w:rPr>
          <w:rFonts w:hint="eastAsia" w:ascii="仿宋" w:hAnsi="仿宋" w:eastAsia="仿宋"/>
          <w:bCs/>
          <w:color w:val="000000"/>
          <w:sz w:val="32"/>
          <w:szCs w:val="32"/>
          <w:highlight w:val="none"/>
        </w:rPr>
        <w:t>年重点工作完成情况。</w:t>
      </w:r>
      <w:bookmarkEnd w:id="6"/>
      <w:bookmarkEnd w:id="7"/>
    </w:p>
    <w:p>
      <w:pPr>
        <w:pBdr>
          <w:top w:val="single" w:color="FFFFFF" w:sz="4" w:space="0"/>
          <w:left w:val="single" w:color="FFFFFF" w:sz="4" w:space="0"/>
          <w:bottom w:val="single" w:color="FFFFFF" w:sz="4" w:space="31"/>
          <w:right w:val="single" w:color="FFFFFF" w:sz="4" w:space="1"/>
        </w:pBdr>
        <w:overflowPunct w:val="0"/>
        <w:spacing w:line="592" w:lineRule="exact"/>
        <w:ind w:firstLine="643" w:firstLineChars="200"/>
        <w:rPr>
          <w:kern w:val="0"/>
          <w:szCs w:val="32"/>
          <w:highlight w:val="none"/>
        </w:rPr>
      </w:pPr>
      <w:r>
        <w:rPr>
          <w:rFonts w:ascii="Times New Roman" w:hAnsi="Times New Roman" w:eastAsia="楷体_GB2312" w:cs="Times New Roman"/>
          <w:b/>
          <w:sz w:val="32"/>
          <w:szCs w:val="32"/>
          <w:highlight w:val="none"/>
        </w:rPr>
        <w:t>恪守民心、荡涤风纪，</w:t>
      </w:r>
      <w:r>
        <w:rPr>
          <w:rFonts w:hint="eastAsia" w:ascii="Times New Roman" w:hAnsi="Times New Roman" w:eastAsia="楷体_GB2312" w:cs="Times New Roman"/>
          <w:b/>
          <w:sz w:val="32"/>
          <w:szCs w:val="32"/>
          <w:highlight w:val="none"/>
        </w:rPr>
        <w:t>在</w:t>
      </w:r>
      <w:r>
        <w:rPr>
          <w:rFonts w:ascii="Times New Roman" w:hAnsi="Times New Roman" w:eastAsia="楷体_GB2312" w:cs="Times New Roman"/>
          <w:b/>
          <w:sz w:val="32"/>
          <w:szCs w:val="32"/>
          <w:highlight w:val="none"/>
        </w:rPr>
        <w:t>厚聚党心民心</w:t>
      </w:r>
      <w:r>
        <w:rPr>
          <w:rFonts w:hint="eastAsia" w:ascii="Times New Roman" w:hAnsi="Times New Roman" w:eastAsia="楷体_GB2312" w:cs="Times New Roman"/>
          <w:b/>
          <w:sz w:val="32"/>
          <w:szCs w:val="32"/>
          <w:highlight w:val="none"/>
        </w:rPr>
        <w:t>上抓精准</w:t>
      </w:r>
      <w:r>
        <w:rPr>
          <w:rFonts w:ascii="Times New Roman" w:hAnsi="Times New Roman" w:eastAsia="楷体_GB2312" w:cs="Times New Roman"/>
          <w:b/>
          <w:sz w:val="32"/>
          <w:szCs w:val="32"/>
          <w:highlight w:val="none"/>
        </w:rPr>
        <w:t>。</w:t>
      </w:r>
      <w:r>
        <w:rPr>
          <w:kern w:val="0"/>
          <w:szCs w:val="32"/>
          <w:highlight w:val="none"/>
        </w:rPr>
        <w:t>常态开展党风廉政建设社会评价，做好政治生态建设暨社情民意、政风行风调查，推动解决群众反映突出问题190余个。开展正风肃纪监督检查 4 轮次，发现问题45个，查处违反中央八项规定精神案件13件22人，通报曝光5期14人。扎实开展“脱贫攻坚纪律作风保障年”活动，查处侵害群众利益问题55个，追责问责88人。全面加强扫黑除恶专项斗争“打伞破网”工作，深挖彻查“微腐败”问题背后公职人员涉黑涉恶及“保护伞”，查处“保护伞”4人，追责问责4人、1个单位，“打伞破网”。</w:t>
      </w:r>
    </w:p>
    <w:p>
      <w:pPr>
        <w:pBdr>
          <w:top w:val="single" w:color="FFFFFF" w:sz="4" w:space="0"/>
          <w:left w:val="single" w:color="FFFFFF" w:sz="4" w:space="0"/>
          <w:bottom w:val="single" w:color="FFFFFF" w:sz="4" w:space="31"/>
          <w:right w:val="single" w:color="FFFFFF" w:sz="4" w:space="1"/>
        </w:pBdr>
        <w:overflowPunct w:val="0"/>
        <w:spacing w:line="592" w:lineRule="exact"/>
        <w:ind w:firstLine="643" w:firstLineChars="200"/>
        <w:rPr>
          <w:kern w:val="0"/>
          <w:szCs w:val="32"/>
          <w:highlight w:val="none"/>
        </w:rPr>
      </w:pPr>
      <w:r>
        <w:rPr>
          <w:rFonts w:ascii="Times New Roman" w:hAnsi="Times New Roman" w:eastAsia="楷体_GB2312" w:cs="Times New Roman"/>
          <w:b/>
          <w:sz w:val="32"/>
          <w:szCs w:val="32"/>
          <w:highlight w:val="none"/>
        </w:rPr>
        <w:t>紧贴中心、躬身入局，</w:t>
      </w:r>
      <w:r>
        <w:rPr>
          <w:rFonts w:hint="eastAsia" w:ascii="Times New Roman" w:hAnsi="Times New Roman" w:eastAsia="楷体_GB2312" w:cs="Times New Roman"/>
          <w:b/>
          <w:sz w:val="32"/>
          <w:szCs w:val="32"/>
          <w:highlight w:val="none"/>
        </w:rPr>
        <w:t>在</w:t>
      </w:r>
      <w:r>
        <w:rPr>
          <w:rFonts w:ascii="Times New Roman" w:hAnsi="Times New Roman" w:eastAsia="楷体_GB2312" w:cs="Times New Roman"/>
          <w:b/>
          <w:sz w:val="32"/>
          <w:szCs w:val="32"/>
          <w:highlight w:val="none"/>
        </w:rPr>
        <w:t>保障政令畅通</w:t>
      </w:r>
      <w:r>
        <w:rPr>
          <w:rFonts w:hint="eastAsia" w:ascii="Times New Roman" w:hAnsi="Times New Roman" w:eastAsia="楷体_GB2312" w:cs="Times New Roman"/>
          <w:b/>
          <w:sz w:val="32"/>
          <w:szCs w:val="32"/>
          <w:highlight w:val="none"/>
        </w:rPr>
        <w:t>上抓精准</w:t>
      </w:r>
      <w:r>
        <w:rPr>
          <w:rFonts w:ascii="Times New Roman" w:hAnsi="Times New Roman" w:eastAsia="楷体_GB2312" w:cs="Times New Roman"/>
          <w:b/>
          <w:sz w:val="32"/>
          <w:szCs w:val="32"/>
          <w:highlight w:val="none"/>
        </w:rPr>
        <w:t>。</w:t>
      </w:r>
      <w:r>
        <w:rPr>
          <w:kern w:val="0"/>
          <w:szCs w:val="32"/>
          <w:highlight w:val="none"/>
        </w:rPr>
        <w:t>扎实开展</w:t>
      </w:r>
      <w:r>
        <w:rPr>
          <w:rFonts w:hint="eastAsia"/>
          <w:kern w:val="0"/>
          <w:szCs w:val="32"/>
          <w:highlight w:val="none"/>
        </w:rPr>
        <w:t>“</w:t>
      </w:r>
      <w:r>
        <w:rPr>
          <w:kern w:val="0"/>
          <w:szCs w:val="32"/>
          <w:highlight w:val="none"/>
        </w:rPr>
        <w:t>执行落实保障年</w:t>
      </w:r>
      <w:r>
        <w:rPr>
          <w:rFonts w:hint="eastAsia"/>
          <w:kern w:val="0"/>
          <w:szCs w:val="32"/>
          <w:highlight w:val="none"/>
        </w:rPr>
        <w:t>”</w:t>
      </w:r>
      <w:r>
        <w:rPr>
          <w:kern w:val="0"/>
          <w:szCs w:val="32"/>
          <w:highlight w:val="none"/>
        </w:rPr>
        <w:t>活动，聚焦新冠肺炎疫情防控</w:t>
      </w:r>
      <w:r>
        <w:rPr>
          <w:rFonts w:hint="eastAsia"/>
          <w:kern w:val="0"/>
          <w:szCs w:val="32"/>
          <w:highlight w:val="none"/>
        </w:rPr>
        <w:t>，</w:t>
      </w:r>
      <w:r>
        <w:rPr>
          <w:kern w:val="0"/>
          <w:szCs w:val="32"/>
          <w:highlight w:val="none"/>
        </w:rPr>
        <w:t>打好</w:t>
      </w:r>
      <w:r>
        <w:rPr>
          <w:rFonts w:hint="eastAsia"/>
          <w:kern w:val="0"/>
          <w:szCs w:val="32"/>
          <w:highlight w:val="none"/>
        </w:rPr>
        <w:t>“</w:t>
      </w:r>
      <w:r>
        <w:rPr>
          <w:kern w:val="0"/>
          <w:szCs w:val="32"/>
          <w:highlight w:val="none"/>
        </w:rPr>
        <w:t>三大攻坚战</w:t>
      </w:r>
      <w:r>
        <w:rPr>
          <w:rFonts w:hint="eastAsia"/>
          <w:kern w:val="0"/>
          <w:szCs w:val="32"/>
          <w:highlight w:val="none"/>
        </w:rPr>
        <w:t>”</w:t>
      </w:r>
      <w:r>
        <w:rPr>
          <w:kern w:val="0"/>
          <w:szCs w:val="32"/>
          <w:highlight w:val="none"/>
        </w:rPr>
        <w:t>、</w:t>
      </w:r>
      <w:r>
        <w:rPr>
          <w:rFonts w:hint="eastAsia"/>
          <w:kern w:val="0"/>
          <w:szCs w:val="32"/>
          <w:highlight w:val="none"/>
        </w:rPr>
        <w:t>“</w:t>
      </w:r>
      <w:r>
        <w:rPr>
          <w:kern w:val="0"/>
          <w:szCs w:val="32"/>
          <w:highlight w:val="none"/>
        </w:rPr>
        <w:t>创文创卫</w:t>
      </w:r>
      <w:r>
        <w:rPr>
          <w:rFonts w:hint="eastAsia"/>
          <w:kern w:val="0"/>
          <w:szCs w:val="32"/>
          <w:highlight w:val="none"/>
        </w:rPr>
        <w:t>”</w:t>
      </w:r>
      <w:r>
        <w:rPr>
          <w:kern w:val="0"/>
          <w:szCs w:val="32"/>
          <w:highlight w:val="none"/>
        </w:rPr>
        <w:t>、融入成渝地区双城经济圈建设、长江流域生态保护等工作，统筹力量开展专项监督12轮次，发现并整改问题890余个，问责26人，把监督推动</w:t>
      </w:r>
      <w:r>
        <w:rPr>
          <w:rFonts w:hint="eastAsia"/>
          <w:kern w:val="0"/>
          <w:szCs w:val="32"/>
          <w:highlight w:val="none"/>
        </w:rPr>
        <w:t>“</w:t>
      </w:r>
      <w:r>
        <w:rPr>
          <w:kern w:val="0"/>
          <w:szCs w:val="32"/>
          <w:highlight w:val="none"/>
        </w:rPr>
        <w:t>六稳六保</w:t>
      </w:r>
      <w:r>
        <w:rPr>
          <w:rFonts w:hint="eastAsia"/>
          <w:kern w:val="0"/>
          <w:szCs w:val="32"/>
          <w:highlight w:val="none"/>
        </w:rPr>
        <w:t>”</w:t>
      </w:r>
      <w:r>
        <w:rPr>
          <w:kern w:val="0"/>
          <w:szCs w:val="32"/>
          <w:highlight w:val="none"/>
        </w:rPr>
        <w:t>与优化营商环境工作结合起来，制定纪检监察组织服务保障民营经济健康发展</w:t>
      </w:r>
      <w:r>
        <w:rPr>
          <w:rFonts w:hint="eastAsia"/>
          <w:kern w:val="0"/>
          <w:szCs w:val="32"/>
          <w:highlight w:val="none"/>
        </w:rPr>
        <w:t>若干</w:t>
      </w:r>
      <w:r>
        <w:rPr>
          <w:kern w:val="0"/>
          <w:szCs w:val="32"/>
          <w:highlight w:val="none"/>
        </w:rPr>
        <w:t>措施，强化民营企业反映问题</w:t>
      </w:r>
      <w:r>
        <w:rPr>
          <w:rFonts w:hint="eastAsia"/>
          <w:kern w:val="0"/>
          <w:szCs w:val="32"/>
          <w:highlight w:val="none"/>
        </w:rPr>
        <w:t>“</w:t>
      </w:r>
      <w:r>
        <w:rPr>
          <w:kern w:val="0"/>
          <w:szCs w:val="32"/>
          <w:highlight w:val="none"/>
        </w:rPr>
        <w:t>双报双促</w:t>
      </w:r>
      <w:r>
        <w:rPr>
          <w:rFonts w:hint="eastAsia"/>
          <w:kern w:val="0"/>
          <w:szCs w:val="32"/>
          <w:highlight w:val="none"/>
        </w:rPr>
        <w:t>”</w:t>
      </w:r>
      <w:r>
        <w:rPr>
          <w:kern w:val="0"/>
          <w:szCs w:val="32"/>
          <w:highlight w:val="none"/>
        </w:rPr>
        <w:t>，区纪委监委主要领导带队开展</w:t>
      </w:r>
      <w:r>
        <w:rPr>
          <w:rFonts w:hint="eastAsia"/>
          <w:kern w:val="0"/>
          <w:szCs w:val="32"/>
          <w:highlight w:val="none"/>
        </w:rPr>
        <w:t>“</w:t>
      </w:r>
      <w:r>
        <w:rPr>
          <w:kern w:val="0"/>
          <w:szCs w:val="32"/>
          <w:highlight w:val="none"/>
        </w:rPr>
        <w:t>上门走访</w:t>
      </w:r>
      <w:r>
        <w:rPr>
          <w:rFonts w:hint="eastAsia"/>
          <w:kern w:val="0"/>
          <w:szCs w:val="32"/>
          <w:highlight w:val="none"/>
        </w:rPr>
        <w:t>”</w:t>
      </w:r>
      <w:r>
        <w:rPr>
          <w:kern w:val="0"/>
          <w:szCs w:val="32"/>
          <w:highlight w:val="none"/>
        </w:rPr>
        <w:t>，收集并督促解决企业难点问题11个。</w:t>
      </w:r>
    </w:p>
    <w:p>
      <w:pPr>
        <w:pBdr>
          <w:top w:val="single" w:color="FFFFFF" w:sz="4" w:space="0"/>
          <w:left w:val="single" w:color="FFFFFF" w:sz="4" w:space="0"/>
          <w:bottom w:val="single" w:color="FFFFFF" w:sz="4" w:space="31"/>
          <w:right w:val="single" w:color="FFFFFF" w:sz="4" w:space="1"/>
        </w:pBdr>
        <w:overflowPunct w:val="0"/>
        <w:spacing w:line="592" w:lineRule="exact"/>
        <w:ind w:firstLine="643" w:firstLineChars="200"/>
        <w:rPr>
          <w:kern w:val="0"/>
          <w:szCs w:val="32"/>
          <w:highlight w:val="none"/>
        </w:rPr>
      </w:pPr>
      <w:r>
        <w:rPr>
          <w:rFonts w:ascii="Times New Roman" w:hAnsi="Times New Roman" w:eastAsia="楷体_GB2312" w:cs="Times New Roman"/>
          <w:b/>
          <w:sz w:val="32"/>
          <w:szCs w:val="32"/>
          <w:highlight w:val="none"/>
        </w:rPr>
        <w:t>深化改革、完善体系，</w:t>
      </w:r>
      <w:r>
        <w:rPr>
          <w:rFonts w:hint="eastAsia" w:ascii="Times New Roman" w:hAnsi="Times New Roman" w:eastAsia="楷体_GB2312" w:cs="Times New Roman"/>
          <w:b/>
          <w:sz w:val="32"/>
          <w:szCs w:val="32"/>
          <w:highlight w:val="none"/>
        </w:rPr>
        <w:t>在</w:t>
      </w:r>
      <w:r>
        <w:rPr>
          <w:rFonts w:ascii="Times New Roman" w:hAnsi="Times New Roman" w:eastAsia="楷体_GB2312" w:cs="Times New Roman"/>
          <w:b/>
          <w:sz w:val="32"/>
          <w:szCs w:val="32"/>
          <w:highlight w:val="none"/>
        </w:rPr>
        <w:t>提升治理效能</w:t>
      </w:r>
      <w:r>
        <w:rPr>
          <w:rFonts w:hint="eastAsia" w:ascii="Times New Roman" w:hAnsi="Times New Roman" w:eastAsia="楷体_GB2312" w:cs="Times New Roman"/>
          <w:b/>
          <w:sz w:val="32"/>
          <w:szCs w:val="32"/>
          <w:highlight w:val="none"/>
        </w:rPr>
        <w:t>上抓精准</w:t>
      </w:r>
      <w:r>
        <w:rPr>
          <w:rFonts w:ascii="Times New Roman" w:hAnsi="Times New Roman" w:eastAsia="楷体_GB2312" w:cs="Times New Roman"/>
          <w:b/>
          <w:sz w:val="32"/>
          <w:szCs w:val="32"/>
          <w:highlight w:val="none"/>
        </w:rPr>
        <w:t>。</w:t>
      </w:r>
      <w:r>
        <w:rPr>
          <w:kern w:val="0"/>
          <w:szCs w:val="32"/>
          <w:highlight w:val="none"/>
        </w:rPr>
        <w:t>一体推进党的纪律检查体制改革、国家监察体制改革、纪检监察机构改革，强化镇（街）纪检监察组织标准化、规范化建设，完成派驻纪检监察机构编制划转和启用工作，持续优化纪检监察组织人员结构。以村（社区）换届为契机，严把村（社区）纪检委员政治关、廉洁关，选优配强基层纪检力量，延伸拓展监督末梢。</w:t>
      </w:r>
    </w:p>
    <w:p>
      <w:pPr>
        <w:pBdr>
          <w:top w:val="single" w:color="FFFFFF" w:sz="4" w:space="0"/>
          <w:left w:val="single" w:color="FFFFFF" w:sz="4" w:space="0"/>
          <w:bottom w:val="single" w:color="FFFFFF" w:sz="4" w:space="31"/>
          <w:right w:val="single" w:color="FFFFFF" w:sz="4" w:space="1"/>
        </w:pBdr>
        <w:overflowPunct w:val="0"/>
        <w:spacing w:line="592" w:lineRule="exact"/>
        <w:ind w:firstLine="643" w:firstLineChars="200"/>
        <w:rPr>
          <w:rFonts w:hint="eastAsia"/>
          <w:kern w:val="0"/>
          <w:szCs w:val="32"/>
          <w:highlight w:val="none"/>
          <w:lang w:eastAsia="zh-CN"/>
        </w:rPr>
      </w:pPr>
      <w:r>
        <w:rPr>
          <w:rFonts w:ascii="Times New Roman" w:hAnsi="Times New Roman" w:eastAsia="楷体_GB2312" w:cs="Times New Roman"/>
          <w:b/>
          <w:sz w:val="32"/>
          <w:szCs w:val="32"/>
          <w:highlight w:val="none"/>
        </w:rPr>
        <w:t>严管厚爱、</w:t>
      </w:r>
      <w:r>
        <w:rPr>
          <w:rFonts w:hint="eastAsia" w:ascii="Times New Roman" w:hAnsi="Times New Roman" w:eastAsia="楷体_GB2312" w:cs="Times New Roman"/>
          <w:b/>
          <w:sz w:val="32"/>
          <w:szCs w:val="32"/>
          <w:highlight w:val="none"/>
        </w:rPr>
        <w:t>用心</w:t>
      </w:r>
      <w:r>
        <w:rPr>
          <w:rFonts w:ascii="Times New Roman" w:hAnsi="Times New Roman" w:eastAsia="楷体_GB2312" w:cs="Times New Roman"/>
          <w:b/>
          <w:sz w:val="32"/>
          <w:szCs w:val="32"/>
          <w:highlight w:val="none"/>
        </w:rPr>
        <w:t>管护</w:t>
      </w:r>
      <w:r>
        <w:rPr>
          <w:rFonts w:hint="eastAsia" w:ascii="Times New Roman" w:hAnsi="Times New Roman" w:eastAsia="楷体_GB2312" w:cs="Times New Roman"/>
          <w:b/>
          <w:sz w:val="32"/>
          <w:szCs w:val="32"/>
          <w:highlight w:val="none"/>
        </w:rPr>
        <w:t>，在</w:t>
      </w:r>
      <w:r>
        <w:rPr>
          <w:rFonts w:ascii="Times New Roman" w:hAnsi="Times New Roman" w:eastAsia="楷体_GB2312" w:cs="Times New Roman"/>
          <w:b/>
          <w:sz w:val="32"/>
          <w:szCs w:val="32"/>
          <w:highlight w:val="none"/>
        </w:rPr>
        <w:t>保育政治生态</w:t>
      </w:r>
      <w:r>
        <w:rPr>
          <w:rFonts w:hint="eastAsia" w:ascii="Times New Roman" w:hAnsi="Times New Roman" w:eastAsia="楷体_GB2312" w:cs="Times New Roman"/>
          <w:b/>
          <w:sz w:val="32"/>
          <w:szCs w:val="32"/>
          <w:highlight w:val="none"/>
        </w:rPr>
        <w:t>上抓精准</w:t>
      </w:r>
      <w:r>
        <w:rPr>
          <w:rFonts w:ascii="Times New Roman" w:hAnsi="Times New Roman" w:eastAsia="楷体_GB2312" w:cs="Times New Roman"/>
          <w:b/>
          <w:sz w:val="32"/>
          <w:szCs w:val="32"/>
          <w:highlight w:val="none"/>
        </w:rPr>
        <w:t>。</w:t>
      </w:r>
      <w:r>
        <w:rPr>
          <w:kern w:val="0"/>
          <w:szCs w:val="32"/>
          <w:highlight w:val="none"/>
        </w:rPr>
        <w:t>推动全区各级实践运用监督执纪</w:t>
      </w:r>
      <w:r>
        <w:rPr>
          <w:rFonts w:hint="eastAsia"/>
          <w:kern w:val="0"/>
          <w:szCs w:val="32"/>
          <w:highlight w:val="none"/>
        </w:rPr>
        <w:t>“</w:t>
      </w:r>
      <w:r>
        <w:rPr>
          <w:kern w:val="0"/>
          <w:szCs w:val="32"/>
          <w:highlight w:val="none"/>
        </w:rPr>
        <w:t>四种形态</w:t>
      </w:r>
      <w:r>
        <w:rPr>
          <w:rFonts w:hint="eastAsia"/>
          <w:kern w:val="0"/>
          <w:szCs w:val="32"/>
          <w:highlight w:val="none"/>
        </w:rPr>
        <w:t>”</w:t>
      </w:r>
      <w:r>
        <w:rPr>
          <w:kern w:val="0"/>
          <w:szCs w:val="32"/>
          <w:highlight w:val="none"/>
        </w:rPr>
        <w:t>尤其是第一种形态，全年</w:t>
      </w:r>
      <w:r>
        <w:rPr>
          <w:rFonts w:hint="eastAsia"/>
          <w:kern w:val="0"/>
          <w:szCs w:val="32"/>
          <w:highlight w:val="none"/>
        </w:rPr>
        <w:t>“</w:t>
      </w:r>
      <w:r>
        <w:rPr>
          <w:kern w:val="0"/>
          <w:szCs w:val="32"/>
          <w:highlight w:val="none"/>
        </w:rPr>
        <w:t>四种形态</w:t>
      </w:r>
      <w:r>
        <w:rPr>
          <w:rFonts w:hint="eastAsia"/>
          <w:kern w:val="0"/>
          <w:szCs w:val="32"/>
          <w:highlight w:val="none"/>
        </w:rPr>
        <w:t>”</w:t>
      </w:r>
      <w:r>
        <w:rPr>
          <w:kern w:val="0"/>
          <w:szCs w:val="32"/>
          <w:highlight w:val="none"/>
        </w:rPr>
        <w:t>处理155人次，其中第一种形态91人次、占58.7%，第二种形态56人次、占36.1%，第三种形态4人次、占2.6%，第四种形态4人次、占2.6%。坚决为担当者担当，分层分类为5名受到不实举报的干部实施澄清保护；在全市率先出台受处分干部日常教育管理、建议重启任用办法，开展回访教育52人次</w:t>
      </w:r>
      <w:r>
        <w:rPr>
          <w:rFonts w:hint="eastAsia"/>
          <w:kern w:val="0"/>
          <w:szCs w:val="32"/>
          <w:highlight w:val="none"/>
          <w:lang w:eastAsia="zh-CN"/>
        </w:rPr>
        <w:t>。</w:t>
      </w:r>
    </w:p>
    <w:p>
      <w:pPr>
        <w:pBdr>
          <w:top w:val="single" w:color="FFFFFF" w:sz="4" w:space="0"/>
          <w:left w:val="single" w:color="FFFFFF" w:sz="4" w:space="0"/>
          <w:bottom w:val="single" w:color="FFFFFF" w:sz="4" w:space="31"/>
          <w:right w:val="single" w:color="FFFFFF" w:sz="4" w:space="1"/>
        </w:pBdr>
        <w:overflowPunct w:val="0"/>
        <w:spacing w:line="592" w:lineRule="exact"/>
        <w:ind w:firstLine="643" w:firstLineChars="200"/>
        <w:rPr>
          <w:rFonts w:hint="eastAsia" w:ascii="仿宋" w:hAnsi="仿宋" w:eastAsia="仿宋"/>
          <w:bCs/>
          <w:color w:val="000000"/>
          <w:sz w:val="32"/>
          <w:szCs w:val="32"/>
          <w:highlight w:val="none"/>
        </w:rPr>
      </w:pPr>
      <w:r>
        <w:rPr>
          <w:rFonts w:ascii="Times New Roman" w:hAnsi="Times New Roman" w:eastAsia="楷体_GB2312" w:cs="Times New Roman"/>
          <w:b/>
          <w:sz w:val="32"/>
          <w:szCs w:val="32"/>
          <w:highlight w:val="none"/>
        </w:rPr>
        <w:t>严实合一、强势反腐，</w:t>
      </w:r>
      <w:r>
        <w:rPr>
          <w:rFonts w:hint="eastAsia" w:ascii="Times New Roman" w:hAnsi="Times New Roman" w:eastAsia="楷体_GB2312" w:cs="Times New Roman"/>
          <w:b/>
          <w:sz w:val="32"/>
          <w:szCs w:val="32"/>
          <w:highlight w:val="none"/>
        </w:rPr>
        <w:t>在</w:t>
      </w:r>
      <w:r>
        <w:rPr>
          <w:rFonts w:ascii="Times New Roman" w:hAnsi="Times New Roman" w:eastAsia="楷体_GB2312" w:cs="Times New Roman"/>
          <w:b/>
          <w:sz w:val="32"/>
          <w:szCs w:val="32"/>
          <w:highlight w:val="none"/>
        </w:rPr>
        <w:t>深化标本兼治</w:t>
      </w:r>
      <w:r>
        <w:rPr>
          <w:rFonts w:hint="eastAsia" w:ascii="Times New Roman" w:hAnsi="Times New Roman" w:eastAsia="楷体_GB2312" w:cs="Times New Roman"/>
          <w:b/>
          <w:sz w:val="32"/>
          <w:szCs w:val="32"/>
          <w:highlight w:val="none"/>
        </w:rPr>
        <w:t>上抓精准</w:t>
      </w:r>
      <w:r>
        <w:rPr>
          <w:rFonts w:ascii="Times New Roman" w:hAnsi="Times New Roman" w:eastAsia="楷体_GB2312" w:cs="Times New Roman"/>
          <w:b/>
          <w:sz w:val="32"/>
          <w:szCs w:val="32"/>
          <w:highlight w:val="none"/>
        </w:rPr>
        <w:t>。</w:t>
      </w:r>
      <w:r>
        <w:rPr>
          <w:kern w:val="0"/>
          <w:szCs w:val="32"/>
          <w:highlight w:val="none"/>
        </w:rPr>
        <w:t>始终坚持</w:t>
      </w:r>
      <w:r>
        <w:rPr>
          <w:rFonts w:hint="eastAsia"/>
          <w:kern w:val="0"/>
          <w:szCs w:val="32"/>
          <w:highlight w:val="none"/>
        </w:rPr>
        <w:t>“</w:t>
      </w:r>
      <w:r>
        <w:rPr>
          <w:kern w:val="0"/>
          <w:szCs w:val="32"/>
          <w:highlight w:val="none"/>
        </w:rPr>
        <w:t>严</w:t>
      </w:r>
      <w:r>
        <w:rPr>
          <w:rFonts w:hint="eastAsia"/>
          <w:kern w:val="0"/>
          <w:szCs w:val="32"/>
          <w:highlight w:val="none"/>
        </w:rPr>
        <w:t>”</w:t>
      </w:r>
      <w:r>
        <w:rPr>
          <w:kern w:val="0"/>
          <w:szCs w:val="32"/>
          <w:highlight w:val="none"/>
        </w:rPr>
        <w:t>的主基调，立案审查调查64人，其中对1人采取留置措施，移送审查起诉3人，持续巩固反腐败斗争压倒性胜利。有效落实执行执法司法机关与纪检监察机关问题线索移送机制，加大违纪违法问题线索筛查检索，受理或向其他纪检监察机关移送线索</w:t>
      </w:r>
      <w:r>
        <w:rPr>
          <w:rFonts w:hint="eastAsia"/>
          <w:kern w:val="0"/>
          <w:szCs w:val="32"/>
          <w:highlight w:val="none"/>
        </w:rPr>
        <w:t>50</w:t>
      </w:r>
      <w:r>
        <w:rPr>
          <w:kern w:val="0"/>
          <w:szCs w:val="32"/>
          <w:highlight w:val="none"/>
        </w:rPr>
        <w:t>余件，</w:t>
      </w:r>
      <w:r>
        <w:rPr>
          <w:rFonts w:hint="eastAsia"/>
          <w:kern w:val="0"/>
          <w:szCs w:val="32"/>
          <w:highlight w:val="none"/>
        </w:rPr>
        <w:t>对</w:t>
      </w:r>
      <w:r>
        <w:rPr>
          <w:kern w:val="0"/>
          <w:szCs w:val="32"/>
          <w:highlight w:val="none"/>
        </w:rPr>
        <w:t>公检法等机关移送线索立案</w:t>
      </w:r>
      <w:r>
        <w:rPr>
          <w:rFonts w:hint="eastAsia"/>
          <w:kern w:val="0"/>
          <w:szCs w:val="32"/>
          <w:highlight w:val="none"/>
        </w:rPr>
        <w:t>10</w:t>
      </w:r>
      <w:r>
        <w:rPr>
          <w:kern w:val="0"/>
          <w:szCs w:val="32"/>
          <w:highlight w:val="none"/>
        </w:rPr>
        <w:t>件</w:t>
      </w:r>
      <w:r>
        <w:rPr>
          <w:rFonts w:hint="eastAsia"/>
          <w:kern w:val="0"/>
          <w:szCs w:val="32"/>
          <w:highlight w:val="none"/>
        </w:rPr>
        <w:t>10</w:t>
      </w:r>
      <w:r>
        <w:rPr>
          <w:kern w:val="0"/>
          <w:szCs w:val="32"/>
          <w:highlight w:val="none"/>
        </w:rPr>
        <w:t>人。用身边事教育身边人，公开曝光典型案例16期，发放警示教育读本800余册，党员干部参观自流井区基层党员干部廉政教育基地、廉政文化示范点等1800余人次，理想信念教育、反面警示教育更加走心入脑。</w:t>
      </w:r>
    </w:p>
    <w:p>
      <w:pPr>
        <w:pStyle w:val="4"/>
        <w:numPr>
          <w:ilvl w:val="0"/>
          <w:numId w:val="1"/>
        </w:numPr>
        <w:rPr>
          <w:rStyle w:val="21"/>
          <w:rFonts w:ascii="黑体" w:hAnsi="黑体" w:eastAsia="黑体"/>
          <w:b w:val="0"/>
          <w:bCs w:val="0"/>
          <w:highlight w:val="none"/>
        </w:rPr>
      </w:pPr>
      <w:bookmarkStart w:id="8" w:name="_Toc15396601"/>
      <w:bookmarkStart w:id="9" w:name="_Toc15377200"/>
      <w:bookmarkStart w:id="10" w:name="_Toc6092"/>
      <w:r>
        <w:rPr>
          <w:rFonts w:hint="eastAsia" w:ascii="黑体" w:hAnsi="黑体" w:eastAsia="黑体"/>
          <w:b w:val="0"/>
          <w:color w:val="000000"/>
          <w:highlight w:val="none"/>
        </w:rPr>
        <w:t>机</w:t>
      </w:r>
      <w:r>
        <w:rPr>
          <w:rStyle w:val="21"/>
          <w:rFonts w:hint="eastAsia" w:ascii="黑体" w:hAnsi="黑体" w:eastAsia="黑体"/>
          <w:b w:val="0"/>
          <w:bCs w:val="0"/>
          <w:highlight w:val="none"/>
        </w:rPr>
        <w:t>构设置</w:t>
      </w:r>
      <w:bookmarkEnd w:id="8"/>
      <w:bookmarkEnd w:id="9"/>
      <w:bookmarkEnd w:id="10"/>
    </w:p>
    <w:p>
      <w:pPr>
        <w:ind w:firstLine="800" w:firstLineChars="250"/>
        <w:rPr>
          <w:rFonts w:hint="eastAsia" w:ascii="仿宋" w:hAnsi="仿宋" w:eastAsia="仿宋"/>
          <w:szCs w:val="32"/>
          <w:highlight w:val="none"/>
        </w:rPr>
      </w:pPr>
      <w:bookmarkStart w:id="11" w:name="_Toc23109"/>
      <w:bookmarkStart w:id="12" w:name="_Toc15396602"/>
      <w:bookmarkStart w:id="13" w:name="_Toc15377204"/>
      <w:r>
        <w:rPr>
          <w:rFonts w:hint="eastAsia" w:ascii="仿宋" w:hAnsi="仿宋" w:eastAsia="仿宋"/>
          <w:szCs w:val="32"/>
          <w:highlight w:val="none"/>
          <w:lang w:val="en-US" w:eastAsia="zh-CN"/>
        </w:rPr>
        <w:t>中共自流井区纪委部门共有</w:t>
      </w:r>
      <w:r>
        <w:rPr>
          <w:rFonts w:ascii="Times New Roman" w:hAnsi="Times New Roman" w:eastAsia="仿宋_GB2312" w:cs="Times New Roman"/>
          <w:color w:val="auto"/>
          <w:sz w:val="32"/>
          <w:szCs w:val="32"/>
          <w:highlight w:val="none"/>
          <w:u w:val="none"/>
        </w:rPr>
        <w:t>内设机构</w:t>
      </w:r>
      <w:r>
        <w:rPr>
          <w:rFonts w:hint="eastAsia" w:ascii="Times New Roman" w:hAnsi="Times New Roman" w:cs="Times New Roman"/>
          <w:color w:val="auto"/>
          <w:sz w:val="32"/>
          <w:szCs w:val="32"/>
          <w:highlight w:val="none"/>
          <w:u w:val="none"/>
          <w:lang w:val="en-US" w:eastAsia="zh-CN"/>
        </w:rPr>
        <w:t>11个，下设派驻纪检监察组织9个</w:t>
      </w:r>
      <w:r>
        <w:rPr>
          <w:rFonts w:hint="eastAsia" w:cs="Times New Roman"/>
          <w:color w:val="auto"/>
          <w:sz w:val="32"/>
          <w:szCs w:val="32"/>
          <w:highlight w:val="none"/>
          <w:u w:val="none"/>
          <w:lang w:val="en-US" w:eastAsia="zh-CN"/>
        </w:rPr>
        <w:t>；</w:t>
      </w:r>
      <w:r>
        <w:rPr>
          <w:rFonts w:hint="eastAsia" w:ascii="仿宋" w:hAnsi="仿宋" w:eastAsia="仿宋"/>
          <w:szCs w:val="32"/>
          <w:highlight w:val="none"/>
        </w:rPr>
        <w:t>下属二级单位1个，其中行政单位0个，参照公务员法管理的事业单位</w:t>
      </w:r>
      <w:r>
        <w:rPr>
          <w:rFonts w:hint="eastAsia" w:ascii="仿宋" w:hAnsi="仿宋" w:eastAsia="仿宋"/>
          <w:bCs/>
          <w:szCs w:val="32"/>
          <w:highlight w:val="none"/>
        </w:rPr>
        <w:t>0</w:t>
      </w:r>
      <w:r>
        <w:rPr>
          <w:rFonts w:hint="eastAsia" w:ascii="仿宋" w:hAnsi="仿宋" w:eastAsia="仿宋"/>
          <w:szCs w:val="32"/>
          <w:highlight w:val="none"/>
        </w:rPr>
        <w:t>个，其他事业单位1个。</w:t>
      </w:r>
    </w:p>
    <w:p>
      <w:pPr>
        <w:ind w:firstLine="800" w:firstLineChars="250"/>
        <w:rPr>
          <w:rFonts w:ascii="仿宋" w:hAnsi="仿宋" w:eastAsia="仿宋"/>
          <w:szCs w:val="32"/>
          <w:highlight w:val="none"/>
        </w:rPr>
      </w:pPr>
    </w:p>
    <w:p>
      <w:pPr>
        <w:pStyle w:val="3"/>
        <w:ind w:right="440"/>
        <w:jc w:val="right"/>
        <w:rPr>
          <w:rStyle w:val="20"/>
          <w:rFonts w:ascii="黑体" w:hAnsi="黑体" w:eastAsia="黑体"/>
          <w:b w:val="0"/>
          <w:bCs w:val="0"/>
          <w:highlight w:val="none"/>
        </w:rPr>
      </w:pPr>
      <w:r>
        <w:rPr>
          <w:rFonts w:hint="eastAsia" w:ascii="黑体" w:hAnsi="黑体" w:eastAsia="黑体"/>
          <w:b w:val="0"/>
          <w:color w:val="000000"/>
          <w:highlight w:val="none"/>
        </w:rPr>
        <w:t>第二部分</w:t>
      </w:r>
      <w:r>
        <w:rPr>
          <w:rStyle w:val="20"/>
          <w:rFonts w:ascii="黑体" w:hAnsi="黑体" w:eastAsia="黑体"/>
          <w:b w:val="0"/>
          <w:bCs w:val="0"/>
          <w:highlight w:val="none"/>
        </w:rPr>
        <w:t>2020</w:t>
      </w:r>
      <w:r>
        <w:rPr>
          <w:rStyle w:val="20"/>
          <w:rFonts w:hint="eastAsia" w:ascii="黑体" w:hAnsi="黑体" w:eastAsia="黑体"/>
          <w:b w:val="0"/>
          <w:bCs w:val="0"/>
          <w:highlight w:val="none"/>
        </w:rPr>
        <w:t>年度部门决算情况说明</w:t>
      </w:r>
      <w:bookmarkEnd w:id="11"/>
      <w:bookmarkEnd w:id="12"/>
      <w:bookmarkEnd w:id="13"/>
    </w:p>
    <w:p>
      <w:pPr>
        <w:rPr>
          <w:highlight w:val="none"/>
        </w:rPr>
      </w:pPr>
    </w:p>
    <w:p>
      <w:pPr>
        <w:pStyle w:val="22"/>
        <w:numPr>
          <w:ilvl w:val="0"/>
          <w:numId w:val="2"/>
        </w:numPr>
        <w:spacing w:line="600" w:lineRule="exact"/>
        <w:ind w:firstLineChars="0"/>
        <w:outlineLvl w:val="1"/>
        <w:rPr>
          <w:rStyle w:val="21"/>
          <w:rFonts w:ascii="黑体" w:hAnsi="黑体" w:eastAsia="黑体"/>
          <w:b w:val="0"/>
          <w:highlight w:val="none"/>
        </w:rPr>
      </w:pPr>
      <w:bookmarkStart w:id="14" w:name="_Toc15377205"/>
      <w:bookmarkStart w:id="15" w:name="_Toc7163"/>
      <w:bookmarkStart w:id="16" w:name="_Toc15396603"/>
      <w:r>
        <w:rPr>
          <w:rFonts w:hint="eastAsia" w:ascii="黑体" w:hAnsi="黑体" w:eastAsia="黑体"/>
          <w:color w:val="000000"/>
          <w:szCs w:val="32"/>
          <w:highlight w:val="none"/>
        </w:rPr>
        <w:t>收</w:t>
      </w:r>
      <w:r>
        <w:rPr>
          <w:rStyle w:val="21"/>
          <w:rFonts w:hint="eastAsia" w:ascii="黑体" w:hAnsi="黑体" w:eastAsia="黑体"/>
          <w:b w:val="0"/>
          <w:highlight w:val="none"/>
        </w:rPr>
        <w:t>入支出决算总体情况说明</w:t>
      </w:r>
      <w:bookmarkEnd w:id="14"/>
      <w:bookmarkEnd w:id="15"/>
      <w:bookmarkEnd w:id="16"/>
    </w:p>
    <w:p>
      <w:pPr>
        <w:widowControl/>
        <w:ind w:firstLine="640" w:firstLineChars="200"/>
        <w:jc w:val="left"/>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年度</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收、支总计</w:t>
      </w:r>
      <w:r>
        <w:rPr>
          <w:rFonts w:hint="eastAsia" w:ascii="仿宋" w:hAnsi="仿宋" w:eastAsia="仿宋"/>
          <w:color w:val="000000"/>
          <w:szCs w:val="32"/>
          <w:highlight w:val="none"/>
          <w:lang w:val="en-US" w:eastAsia="zh-CN"/>
        </w:rPr>
        <w:t>1904.59</w:t>
      </w:r>
      <w:r>
        <w:rPr>
          <w:rFonts w:hint="eastAsia" w:ascii="仿宋" w:hAnsi="仿宋" w:eastAsia="仿宋"/>
          <w:color w:val="000000"/>
          <w:szCs w:val="32"/>
          <w:highlight w:val="none"/>
        </w:rPr>
        <w:t>万元。与</w:t>
      </w:r>
      <w:r>
        <w:rPr>
          <w:rFonts w:ascii="仿宋" w:hAnsi="仿宋" w:eastAsia="仿宋"/>
          <w:color w:val="000000"/>
          <w:szCs w:val="32"/>
          <w:highlight w:val="none"/>
        </w:rPr>
        <w:t>2019</w:t>
      </w:r>
      <w:r>
        <w:rPr>
          <w:rFonts w:hint="eastAsia" w:ascii="仿宋" w:hAnsi="仿宋" w:eastAsia="仿宋"/>
          <w:color w:val="000000"/>
          <w:szCs w:val="32"/>
          <w:highlight w:val="none"/>
        </w:rPr>
        <w:t>年相比，收、支总计减少</w:t>
      </w:r>
      <w:r>
        <w:rPr>
          <w:rFonts w:hint="eastAsia" w:ascii="仿宋" w:hAnsi="仿宋" w:eastAsia="仿宋"/>
          <w:color w:val="000000"/>
          <w:szCs w:val="32"/>
          <w:highlight w:val="none"/>
          <w:lang w:val="en-US" w:eastAsia="zh-CN"/>
        </w:rPr>
        <w:t>53.79</w:t>
      </w:r>
      <w:r>
        <w:rPr>
          <w:rFonts w:hint="eastAsia" w:ascii="仿宋" w:hAnsi="仿宋" w:eastAsia="仿宋"/>
          <w:color w:val="000000"/>
          <w:szCs w:val="32"/>
          <w:highlight w:val="none"/>
        </w:rPr>
        <w:t>万元，下降</w:t>
      </w:r>
      <w:r>
        <w:rPr>
          <w:rFonts w:hint="eastAsia" w:ascii="仿宋" w:hAnsi="仿宋" w:eastAsia="仿宋"/>
          <w:color w:val="000000"/>
          <w:szCs w:val="32"/>
          <w:highlight w:val="none"/>
          <w:lang w:val="en-US" w:eastAsia="zh-CN"/>
        </w:rPr>
        <w:t>2.75</w:t>
      </w:r>
      <w:r>
        <w:rPr>
          <w:rFonts w:ascii="仿宋" w:hAnsi="仿宋" w:eastAsia="仿宋"/>
          <w:color w:val="000000"/>
          <w:szCs w:val="32"/>
          <w:highlight w:val="none"/>
        </w:rPr>
        <w:t>%</w:t>
      </w:r>
      <w:r>
        <w:rPr>
          <w:rFonts w:hint="eastAsia" w:ascii="仿宋" w:hAnsi="仿宋" w:eastAsia="仿宋"/>
          <w:color w:val="000000"/>
          <w:szCs w:val="32"/>
          <w:highlight w:val="none"/>
        </w:rPr>
        <w:t>。主要变动原因是节约为主、压缩开支。</w:t>
      </w:r>
    </w:p>
    <w:p>
      <w:pPr>
        <w:spacing w:line="600" w:lineRule="exact"/>
        <w:ind w:firstLine="640" w:firstLineChars="200"/>
        <w:rPr>
          <w:rFonts w:ascii="仿宋" w:hAnsi="仿宋" w:eastAsia="仿宋"/>
          <w:color w:val="000000"/>
          <w:szCs w:val="32"/>
          <w:highlight w:val="none"/>
        </w:rPr>
      </w:pPr>
      <w:r>
        <w:rPr>
          <w:rFonts w:hint="eastAsia" w:ascii="仿宋" w:hAnsi="仿宋" w:eastAsia="仿宋"/>
          <w:color w:val="000000"/>
          <w:szCs w:val="32"/>
          <w:highlight w:val="none"/>
        </w:rPr>
        <w:t>（图</w:t>
      </w:r>
      <w:r>
        <w:rPr>
          <w:rFonts w:ascii="仿宋" w:hAnsi="仿宋" w:eastAsia="仿宋"/>
          <w:color w:val="000000"/>
          <w:szCs w:val="32"/>
          <w:highlight w:val="none"/>
        </w:rPr>
        <w:t>1</w:t>
      </w:r>
      <w:r>
        <w:rPr>
          <w:rFonts w:hint="eastAsia" w:ascii="仿宋" w:hAnsi="仿宋" w:eastAsia="仿宋"/>
          <w:color w:val="000000"/>
          <w:szCs w:val="32"/>
          <w:highlight w:val="none"/>
        </w:rPr>
        <w:t>：收、支决算总计变动情况图）（柱状图）</w:t>
      </w:r>
    </w:p>
    <w:p>
      <w:pPr>
        <w:spacing w:line="600" w:lineRule="exact"/>
        <w:ind w:firstLine="640" w:firstLineChars="200"/>
        <w:jc w:val="left"/>
        <w:rPr>
          <w:highlight w:val="none"/>
        </w:rPr>
      </w:pPr>
      <w:r>
        <w:rPr>
          <w:highlight w:val="none"/>
        </w:rPr>
        <w:drawing>
          <wp:anchor distT="0" distB="0" distL="114300" distR="114300" simplePos="0" relativeHeight="251660288" behindDoc="0" locked="0" layoutInCell="1" allowOverlap="1">
            <wp:simplePos x="0" y="0"/>
            <wp:positionH relativeFrom="column">
              <wp:posOffset>634365</wp:posOffset>
            </wp:positionH>
            <wp:positionV relativeFrom="paragraph">
              <wp:posOffset>189865</wp:posOffset>
            </wp:positionV>
            <wp:extent cx="4183380" cy="1868805"/>
            <wp:effectExtent l="4445" t="5080" r="22225" b="12065"/>
            <wp:wrapSquare wrapText="bothSides"/>
            <wp:docPr id="6"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anchor>
        </w:drawing>
      </w:r>
    </w:p>
    <w:p>
      <w:pPr>
        <w:spacing w:line="600" w:lineRule="exact"/>
        <w:ind w:firstLine="640" w:firstLineChars="200"/>
        <w:jc w:val="left"/>
        <w:rPr>
          <w:highlight w:val="none"/>
        </w:rPr>
      </w:pPr>
    </w:p>
    <w:p>
      <w:pPr>
        <w:pStyle w:val="2"/>
        <w:ind w:left="2560"/>
        <w:rPr>
          <w:highlight w:val="none"/>
        </w:rPr>
      </w:pPr>
    </w:p>
    <w:p>
      <w:pPr>
        <w:rPr>
          <w:highlight w:val="none"/>
        </w:rPr>
      </w:pPr>
    </w:p>
    <w:p>
      <w:pPr>
        <w:rPr>
          <w:highlight w:val="none"/>
        </w:rPr>
      </w:pPr>
    </w:p>
    <w:p>
      <w:pPr>
        <w:spacing w:line="600" w:lineRule="exact"/>
        <w:jc w:val="left"/>
        <w:rPr>
          <w:rFonts w:ascii="仿宋_GB2312"/>
          <w:color w:val="000000"/>
          <w:szCs w:val="32"/>
          <w:highlight w:val="none"/>
        </w:rPr>
      </w:pPr>
    </w:p>
    <w:p>
      <w:pPr>
        <w:pStyle w:val="22"/>
        <w:numPr>
          <w:ilvl w:val="0"/>
          <w:numId w:val="2"/>
        </w:numPr>
        <w:spacing w:line="600" w:lineRule="exact"/>
        <w:ind w:firstLineChars="0"/>
        <w:outlineLvl w:val="1"/>
        <w:rPr>
          <w:rStyle w:val="21"/>
          <w:rFonts w:ascii="黑体" w:hAnsi="黑体" w:eastAsia="黑体"/>
          <w:b w:val="0"/>
          <w:highlight w:val="none"/>
        </w:rPr>
      </w:pPr>
      <w:bookmarkStart w:id="17" w:name="_Toc15396604"/>
      <w:bookmarkStart w:id="18" w:name="_Toc15377206"/>
      <w:bookmarkStart w:id="19" w:name="_Toc25258"/>
      <w:r>
        <w:rPr>
          <w:rFonts w:hint="eastAsia" w:ascii="黑体" w:hAnsi="黑体" w:eastAsia="黑体"/>
          <w:color w:val="000000"/>
          <w:szCs w:val="32"/>
          <w:highlight w:val="none"/>
        </w:rPr>
        <w:t>收</w:t>
      </w:r>
      <w:r>
        <w:rPr>
          <w:rStyle w:val="21"/>
          <w:rFonts w:hint="eastAsia" w:ascii="黑体" w:hAnsi="黑体" w:eastAsia="黑体"/>
          <w:b w:val="0"/>
          <w:highlight w:val="none"/>
        </w:rPr>
        <w:t>入决算情况说明</w:t>
      </w:r>
      <w:bookmarkEnd w:id="17"/>
      <w:bookmarkEnd w:id="18"/>
      <w:bookmarkEnd w:id="19"/>
    </w:p>
    <w:p>
      <w:pPr>
        <w:spacing w:line="600" w:lineRule="exact"/>
        <w:ind w:firstLine="640" w:firstLineChars="200"/>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本年收入合计958.95万元，其中：一般公共预算财政拨款收入958.95万元，占100</w:t>
      </w:r>
      <w:r>
        <w:rPr>
          <w:rFonts w:ascii="仿宋" w:hAnsi="仿宋" w:eastAsia="仿宋"/>
          <w:color w:val="000000"/>
          <w:szCs w:val="32"/>
          <w:highlight w:val="none"/>
        </w:rPr>
        <w:t>%</w:t>
      </w:r>
      <w:r>
        <w:rPr>
          <w:rFonts w:hint="eastAsia" w:ascii="仿宋" w:hAnsi="仿宋" w:eastAsia="仿宋"/>
          <w:color w:val="000000"/>
          <w:szCs w:val="32"/>
          <w:highlight w:val="none"/>
        </w:rPr>
        <w:t>；政府性基金预算财政拨款收入0万元，占0</w:t>
      </w:r>
      <w:r>
        <w:rPr>
          <w:rFonts w:ascii="仿宋" w:hAnsi="仿宋" w:eastAsia="仿宋"/>
          <w:color w:val="000000"/>
          <w:szCs w:val="32"/>
          <w:highlight w:val="none"/>
        </w:rPr>
        <w:t>%</w:t>
      </w:r>
      <w:r>
        <w:rPr>
          <w:rFonts w:hint="eastAsia" w:ascii="仿宋" w:hAnsi="仿宋" w:eastAsia="仿宋"/>
          <w:color w:val="000000"/>
          <w:szCs w:val="32"/>
          <w:highlight w:val="none"/>
        </w:rPr>
        <w:t>；上级补助收入0万元，占0</w:t>
      </w:r>
      <w:r>
        <w:rPr>
          <w:rFonts w:ascii="仿宋" w:hAnsi="仿宋" w:eastAsia="仿宋"/>
          <w:color w:val="000000"/>
          <w:szCs w:val="32"/>
          <w:highlight w:val="none"/>
        </w:rPr>
        <w:t>%</w:t>
      </w:r>
      <w:r>
        <w:rPr>
          <w:rFonts w:hint="eastAsia" w:ascii="仿宋" w:hAnsi="仿宋" w:eastAsia="仿宋"/>
          <w:color w:val="000000"/>
          <w:szCs w:val="32"/>
          <w:highlight w:val="none"/>
        </w:rPr>
        <w:t>；事业收入0万元，占0</w:t>
      </w:r>
      <w:r>
        <w:rPr>
          <w:rFonts w:ascii="仿宋" w:hAnsi="仿宋" w:eastAsia="仿宋"/>
          <w:color w:val="000000"/>
          <w:szCs w:val="32"/>
          <w:highlight w:val="none"/>
        </w:rPr>
        <w:t>%</w:t>
      </w:r>
      <w:r>
        <w:rPr>
          <w:rFonts w:hint="eastAsia" w:ascii="仿宋" w:hAnsi="仿宋" w:eastAsia="仿宋"/>
          <w:color w:val="000000"/>
          <w:szCs w:val="32"/>
          <w:highlight w:val="none"/>
        </w:rPr>
        <w:t>；经营收入0万元，占0</w:t>
      </w:r>
      <w:r>
        <w:rPr>
          <w:rFonts w:ascii="仿宋" w:hAnsi="仿宋" w:eastAsia="仿宋"/>
          <w:color w:val="000000"/>
          <w:szCs w:val="32"/>
          <w:highlight w:val="none"/>
        </w:rPr>
        <w:t>%</w:t>
      </w:r>
      <w:r>
        <w:rPr>
          <w:rFonts w:hint="eastAsia" w:ascii="仿宋" w:hAnsi="仿宋" w:eastAsia="仿宋"/>
          <w:color w:val="000000"/>
          <w:szCs w:val="32"/>
          <w:highlight w:val="none"/>
        </w:rPr>
        <w:t>；附属单位上缴收入0万元，占0</w:t>
      </w:r>
      <w:r>
        <w:rPr>
          <w:rFonts w:ascii="仿宋" w:hAnsi="仿宋" w:eastAsia="仿宋"/>
          <w:color w:val="000000"/>
          <w:szCs w:val="32"/>
          <w:highlight w:val="none"/>
        </w:rPr>
        <w:t>%</w:t>
      </w:r>
      <w:r>
        <w:rPr>
          <w:rFonts w:hint="eastAsia" w:ascii="仿宋" w:hAnsi="仿宋" w:eastAsia="仿宋"/>
          <w:color w:val="000000"/>
          <w:szCs w:val="32"/>
          <w:highlight w:val="none"/>
        </w:rPr>
        <w:t>；其他收入0万元，占0</w:t>
      </w:r>
      <w:r>
        <w:rPr>
          <w:rFonts w:ascii="仿宋" w:hAnsi="仿宋" w:eastAsia="仿宋"/>
          <w:color w:val="000000"/>
          <w:szCs w:val="32"/>
          <w:highlight w:val="none"/>
        </w:rPr>
        <w:t>%</w:t>
      </w:r>
      <w:r>
        <w:rPr>
          <w:rFonts w:hint="eastAsia" w:ascii="仿宋" w:hAnsi="仿宋" w:eastAsia="仿宋"/>
          <w:color w:val="000000"/>
          <w:szCs w:val="32"/>
          <w:highlight w:val="none"/>
        </w:rPr>
        <w:t>。</w:t>
      </w:r>
    </w:p>
    <w:p>
      <w:pPr>
        <w:spacing w:line="600" w:lineRule="exact"/>
        <w:ind w:firstLine="640" w:firstLineChars="200"/>
        <w:rPr>
          <w:rFonts w:ascii="仿宋" w:hAnsi="仿宋" w:eastAsia="仿宋"/>
          <w:color w:val="000000"/>
          <w:szCs w:val="32"/>
          <w:highlight w:val="none"/>
        </w:rPr>
      </w:pPr>
      <w:r>
        <w:rPr>
          <w:rFonts w:hint="eastAsia" w:ascii="仿宋" w:hAnsi="仿宋" w:eastAsia="仿宋"/>
          <w:color w:val="000000"/>
          <w:szCs w:val="32"/>
          <w:highlight w:val="none"/>
        </w:rPr>
        <w:t>（图</w:t>
      </w:r>
      <w:r>
        <w:rPr>
          <w:rFonts w:ascii="仿宋" w:hAnsi="仿宋" w:eastAsia="仿宋"/>
          <w:color w:val="000000"/>
          <w:szCs w:val="32"/>
          <w:highlight w:val="none"/>
        </w:rPr>
        <w:t>2</w:t>
      </w:r>
      <w:r>
        <w:rPr>
          <w:rFonts w:hint="eastAsia" w:ascii="仿宋" w:hAnsi="仿宋" w:eastAsia="仿宋"/>
          <w:color w:val="000000"/>
          <w:szCs w:val="32"/>
          <w:highlight w:val="none"/>
        </w:rPr>
        <w:t>：收入决算结构图）（饼状图）</w:t>
      </w:r>
    </w:p>
    <w:p>
      <w:pPr>
        <w:pStyle w:val="2"/>
        <w:ind w:left="2560"/>
        <w:rPr>
          <w:rFonts w:ascii="仿宋" w:hAnsi="仿宋" w:eastAsia="仿宋"/>
          <w:color w:val="000000"/>
          <w:szCs w:val="32"/>
          <w:highlight w:val="none"/>
        </w:rPr>
      </w:pPr>
      <w:r>
        <w:rPr>
          <w:highlight w:val="none"/>
        </w:rPr>
        <w:drawing>
          <wp:anchor distT="0" distB="0" distL="114300" distR="114300" simplePos="0" relativeHeight="251659264" behindDoc="0" locked="0" layoutInCell="1" allowOverlap="1">
            <wp:simplePos x="0" y="0"/>
            <wp:positionH relativeFrom="column">
              <wp:posOffset>513080</wp:posOffset>
            </wp:positionH>
            <wp:positionV relativeFrom="paragraph">
              <wp:posOffset>195580</wp:posOffset>
            </wp:positionV>
            <wp:extent cx="3634105" cy="2150110"/>
            <wp:effectExtent l="5080" t="4445" r="18415" b="17145"/>
            <wp:wrapSquare wrapText="bothSides"/>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p>
    <w:p>
      <w:pPr>
        <w:rPr>
          <w:highlight w:val="none"/>
        </w:rPr>
      </w:pPr>
    </w:p>
    <w:p>
      <w:pPr>
        <w:pStyle w:val="2"/>
        <w:ind w:left="2560"/>
        <w:rPr>
          <w:rFonts w:ascii="仿宋" w:hAnsi="仿宋" w:eastAsia="仿宋"/>
          <w:color w:val="000000"/>
          <w:szCs w:val="32"/>
          <w:highlight w:val="none"/>
        </w:rPr>
      </w:pPr>
    </w:p>
    <w:p>
      <w:pPr>
        <w:rPr>
          <w:highlight w:val="none"/>
        </w:rPr>
      </w:pPr>
    </w:p>
    <w:p>
      <w:pPr>
        <w:spacing w:line="600" w:lineRule="exact"/>
        <w:ind w:firstLine="640" w:firstLineChars="200"/>
        <w:rPr>
          <w:rFonts w:ascii="仿宋_GB2312"/>
          <w:color w:val="FF0000"/>
          <w:szCs w:val="32"/>
          <w:highlight w:val="none"/>
        </w:rPr>
      </w:pPr>
    </w:p>
    <w:p>
      <w:pPr>
        <w:pStyle w:val="22"/>
        <w:numPr>
          <w:ilvl w:val="0"/>
          <w:numId w:val="2"/>
        </w:numPr>
        <w:spacing w:line="600" w:lineRule="exact"/>
        <w:ind w:firstLineChars="0"/>
        <w:outlineLvl w:val="1"/>
        <w:rPr>
          <w:rStyle w:val="21"/>
          <w:rFonts w:ascii="黑体" w:hAnsi="黑体" w:eastAsia="黑体"/>
          <w:b w:val="0"/>
          <w:highlight w:val="none"/>
        </w:rPr>
      </w:pPr>
      <w:bookmarkStart w:id="20" w:name="_Toc15377207"/>
      <w:bookmarkStart w:id="21" w:name="_Toc13725"/>
      <w:bookmarkStart w:id="22" w:name="_Toc15396605"/>
      <w:r>
        <w:rPr>
          <w:rFonts w:hint="eastAsia" w:ascii="黑体" w:hAnsi="黑体" w:eastAsia="黑体"/>
          <w:color w:val="000000"/>
          <w:szCs w:val="32"/>
          <w:highlight w:val="none"/>
        </w:rPr>
        <w:t>支</w:t>
      </w:r>
      <w:r>
        <w:rPr>
          <w:rStyle w:val="21"/>
          <w:rFonts w:hint="eastAsia" w:ascii="黑体" w:hAnsi="黑体" w:eastAsia="黑体"/>
          <w:b w:val="0"/>
          <w:highlight w:val="none"/>
        </w:rPr>
        <w:t>出决算情况说明</w:t>
      </w:r>
      <w:bookmarkEnd w:id="20"/>
      <w:bookmarkEnd w:id="21"/>
      <w:bookmarkEnd w:id="22"/>
    </w:p>
    <w:p>
      <w:pPr>
        <w:spacing w:line="600" w:lineRule="exact"/>
        <w:ind w:firstLine="640" w:firstLineChars="200"/>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本年支出合计945.64万元，其中：基本支出945.64万元，占100</w:t>
      </w:r>
      <w:r>
        <w:rPr>
          <w:rFonts w:ascii="仿宋" w:hAnsi="仿宋" w:eastAsia="仿宋"/>
          <w:color w:val="000000"/>
          <w:szCs w:val="32"/>
          <w:highlight w:val="none"/>
        </w:rPr>
        <w:t>%</w:t>
      </w:r>
      <w:r>
        <w:rPr>
          <w:rFonts w:hint="eastAsia" w:ascii="仿宋" w:hAnsi="仿宋" w:eastAsia="仿宋"/>
          <w:color w:val="000000"/>
          <w:szCs w:val="32"/>
          <w:highlight w:val="none"/>
        </w:rPr>
        <w:t>；项目支出0万元，占0</w:t>
      </w:r>
      <w:r>
        <w:rPr>
          <w:rFonts w:ascii="仿宋" w:hAnsi="仿宋" w:eastAsia="仿宋"/>
          <w:color w:val="000000"/>
          <w:szCs w:val="32"/>
          <w:highlight w:val="none"/>
        </w:rPr>
        <w:t>%</w:t>
      </w:r>
      <w:r>
        <w:rPr>
          <w:rFonts w:hint="eastAsia" w:ascii="仿宋" w:hAnsi="仿宋" w:eastAsia="仿宋"/>
          <w:color w:val="000000"/>
          <w:szCs w:val="32"/>
          <w:highlight w:val="none"/>
        </w:rPr>
        <w:t>；上缴上级支出0万元，占0</w:t>
      </w:r>
      <w:r>
        <w:rPr>
          <w:rFonts w:ascii="仿宋" w:hAnsi="仿宋" w:eastAsia="仿宋"/>
          <w:color w:val="000000"/>
          <w:szCs w:val="32"/>
          <w:highlight w:val="none"/>
        </w:rPr>
        <w:t>%</w:t>
      </w:r>
      <w:r>
        <w:rPr>
          <w:rFonts w:hint="eastAsia" w:ascii="仿宋" w:hAnsi="仿宋" w:eastAsia="仿宋"/>
          <w:color w:val="000000"/>
          <w:szCs w:val="32"/>
          <w:highlight w:val="none"/>
        </w:rPr>
        <w:t>；经营支出0万元，占0</w:t>
      </w:r>
      <w:r>
        <w:rPr>
          <w:rFonts w:ascii="仿宋" w:hAnsi="仿宋" w:eastAsia="仿宋"/>
          <w:color w:val="000000"/>
          <w:szCs w:val="32"/>
          <w:highlight w:val="none"/>
        </w:rPr>
        <w:t>%</w:t>
      </w:r>
      <w:r>
        <w:rPr>
          <w:rFonts w:hint="eastAsia" w:ascii="仿宋" w:hAnsi="仿宋" w:eastAsia="仿宋"/>
          <w:color w:val="000000"/>
          <w:szCs w:val="32"/>
          <w:highlight w:val="none"/>
        </w:rPr>
        <w:t>；对附属单位补助支出0万元，占0</w:t>
      </w:r>
      <w:r>
        <w:rPr>
          <w:rFonts w:ascii="仿宋" w:hAnsi="仿宋" w:eastAsia="仿宋"/>
          <w:color w:val="000000"/>
          <w:szCs w:val="32"/>
          <w:highlight w:val="none"/>
        </w:rPr>
        <w:t>%</w:t>
      </w:r>
      <w:r>
        <w:rPr>
          <w:rFonts w:hint="eastAsia" w:ascii="仿宋" w:hAnsi="仿宋" w:eastAsia="仿宋"/>
          <w:color w:val="000000"/>
          <w:szCs w:val="32"/>
          <w:highlight w:val="none"/>
        </w:rPr>
        <w:t>。</w:t>
      </w:r>
    </w:p>
    <w:p>
      <w:pPr>
        <w:spacing w:line="600" w:lineRule="exact"/>
        <w:ind w:firstLine="640" w:firstLineChars="200"/>
        <w:rPr>
          <w:rFonts w:ascii="仿宋" w:hAnsi="仿宋" w:eastAsia="仿宋"/>
          <w:color w:val="000000"/>
          <w:szCs w:val="32"/>
          <w:highlight w:val="none"/>
        </w:rPr>
      </w:pPr>
      <w:r>
        <w:rPr>
          <w:rFonts w:hint="eastAsia" w:ascii="仿宋" w:hAnsi="仿宋" w:eastAsia="仿宋"/>
          <w:color w:val="000000"/>
          <w:szCs w:val="32"/>
          <w:highlight w:val="none"/>
        </w:rPr>
        <w:t>（图</w:t>
      </w:r>
      <w:r>
        <w:rPr>
          <w:rFonts w:ascii="仿宋" w:hAnsi="仿宋" w:eastAsia="仿宋"/>
          <w:color w:val="000000"/>
          <w:szCs w:val="32"/>
          <w:highlight w:val="none"/>
        </w:rPr>
        <w:t>3</w:t>
      </w:r>
      <w:r>
        <w:rPr>
          <w:rFonts w:hint="eastAsia" w:ascii="仿宋" w:hAnsi="仿宋" w:eastAsia="仿宋"/>
          <w:color w:val="000000"/>
          <w:szCs w:val="32"/>
          <w:highlight w:val="none"/>
        </w:rPr>
        <w:t>：支出决算结构图）（饼状图）</w:t>
      </w:r>
    </w:p>
    <w:p>
      <w:pPr>
        <w:jc w:val="center"/>
        <w:rPr>
          <w:rFonts w:ascii="仿宋_GB2312"/>
          <w:color w:val="FF0000"/>
          <w:szCs w:val="32"/>
          <w:highlight w:val="none"/>
        </w:rPr>
      </w:pPr>
      <w:r>
        <w:rPr>
          <w:highlight w:val="none"/>
        </w:rPr>
        <w:drawing>
          <wp:inline distT="0" distB="0" distL="114300" distR="114300">
            <wp:extent cx="3888105" cy="2552700"/>
            <wp:effectExtent l="4445" t="4445" r="12700" b="1460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600" w:lineRule="exact"/>
        <w:ind w:firstLine="640" w:firstLineChars="200"/>
        <w:outlineLvl w:val="1"/>
        <w:rPr>
          <w:rStyle w:val="21"/>
          <w:rFonts w:ascii="黑体" w:hAnsi="黑体" w:eastAsia="黑体"/>
          <w:b w:val="0"/>
          <w:highlight w:val="none"/>
        </w:rPr>
      </w:pPr>
      <w:bookmarkStart w:id="23" w:name="_Toc15396606"/>
      <w:bookmarkStart w:id="24" w:name="_Toc15377208"/>
      <w:bookmarkStart w:id="25" w:name="_Toc10354"/>
      <w:r>
        <w:rPr>
          <w:rFonts w:hint="eastAsia" w:ascii="黑体" w:hAnsi="黑体" w:eastAsia="黑体"/>
          <w:color w:val="000000"/>
          <w:szCs w:val="32"/>
          <w:highlight w:val="none"/>
        </w:rPr>
        <w:t>四、财</w:t>
      </w:r>
      <w:r>
        <w:rPr>
          <w:rStyle w:val="21"/>
          <w:rFonts w:hint="eastAsia" w:ascii="黑体" w:hAnsi="黑体" w:eastAsia="黑体"/>
          <w:b w:val="0"/>
          <w:highlight w:val="none"/>
        </w:rPr>
        <w:t>政拨款收入支出决算总体情况说明</w:t>
      </w:r>
      <w:bookmarkEnd w:id="23"/>
      <w:bookmarkEnd w:id="24"/>
      <w:bookmarkEnd w:id="25"/>
    </w:p>
    <w:p>
      <w:pPr>
        <w:widowControl/>
        <w:ind w:firstLine="640" w:firstLineChars="200"/>
        <w:jc w:val="left"/>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财政拨款收、支总计</w:t>
      </w:r>
      <w:r>
        <w:rPr>
          <w:rFonts w:hint="eastAsia" w:ascii="仿宋" w:hAnsi="仿宋" w:eastAsia="仿宋"/>
          <w:color w:val="000000"/>
          <w:szCs w:val="32"/>
          <w:highlight w:val="none"/>
          <w:lang w:val="en-US" w:eastAsia="zh-CN"/>
        </w:rPr>
        <w:t>1958.38</w:t>
      </w:r>
      <w:r>
        <w:rPr>
          <w:rFonts w:hint="eastAsia" w:ascii="仿宋" w:hAnsi="仿宋" w:eastAsia="仿宋"/>
          <w:color w:val="000000"/>
          <w:szCs w:val="32"/>
          <w:highlight w:val="none"/>
        </w:rPr>
        <w:t>万元。与</w:t>
      </w:r>
      <w:r>
        <w:rPr>
          <w:rFonts w:ascii="仿宋" w:hAnsi="仿宋" w:eastAsia="仿宋"/>
          <w:color w:val="000000"/>
          <w:szCs w:val="32"/>
          <w:highlight w:val="none"/>
        </w:rPr>
        <w:t>2019</w:t>
      </w:r>
      <w:r>
        <w:rPr>
          <w:rFonts w:hint="eastAsia" w:ascii="仿宋" w:hAnsi="仿宋" w:eastAsia="仿宋"/>
          <w:color w:val="000000"/>
          <w:szCs w:val="32"/>
          <w:highlight w:val="none"/>
        </w:rPr>
        <w:t>年相比，财政拨款收、支总计减少</w:t>
      </w:r>
      <w:r>
        <w:rPr>
          <w:rFonts w:hint="eastAsia" w:ascii="仿宋" w:hAnsi="仿宋" w:eastAsia="仿宋"/>
          <w:color w:val="000000"/>
          <w:szCs w:val="32"/>
          <w:highlight w:val="none"/>
          <w:lang w:val="en-US" w:eastAsia="zh-CN"/>
        </w:rPr>
        <w:t>53.79</w:t>
      </w:r>
      <w:r>
        <w:rPr>
          <w:rFonts w:hint="eastAsia" w:ascii="仿宋" w:hAnsi="仿宋" w:eastAsia="仿宋"/>
          <w:color w:val="000000"/>
          <w:szCs w:val="32"/>
          <w:highlight w:val="none"/>
        </w:rPr>
        <w:t>万元，下降</w:t>
      </w:r>
      <w:r>
        <w:rPr>
          <w:rFonts w:hint="eastAsia" w:ascii="仿宋" w:hAnsi="仿宋" w:eastAsia="仿宋"/>
          <w:color w:val="000000"/>
          <w:szCs w:val="32"/>
          <w:highlight w:val="none"/>
          <w:lang w:val="en-US" w:eastAsia="zh-CN"/>
        </w:rPr>
        <w:t>2.75</w:t>
      </w:r>
      <w:r>
        <w:rPr>
          <w:rFonts w:ascii="仿宋" w:hAnsi="仿宋" w:eastAsia="仿宋"/>
          <w:color w:val="000000"/>
          <w:szCs w:val="32"/>
          <w:highlight w:val="none"/>
        </w:rPr>
        <w:t>%</w:t>
      </w:r>
      <w:r>
        <w:rPr>
          <w:rFonts w:hint="eastAsia" w:ascii="仿宋" w:hAnsi="仿宋" w:eastAsia="仿宋"/>
          <w:color w:val="000000"/>
          <w:szCs w:val="32"/>
          <w:highlight w:val="none"/>
        </w:rPr>
        <w:t>。主要变动原因是节约为主、压缩开支。</w:t>
      </w:r>
    </w:p>
    <w:p>
      <w:pPr>
        <w:spacing w:line="600" w:lineRule="exact"/>
        <w:ind w:firstLine="640" w:firstLineChars="200"/>
        <w:rPr>
          <w:rFonts w:ascii="仿宋" w:hAnsi="仿宋" w:eastAsia="仿宋"/>
          <w:color w:val="000000"/>
          <w:szCs w:val="32"/>
          <w:highlight w:val="none"/>
        </w:rPr>
      </w:pPr>
      <w:r>
        <w:rPr>
          <w:rFonts w:hint="eastAsia" w:ascii="仿宋" w:hAnsi="仿宋" w:eastAsia="仿宋"/>
          <w:color w:val="000000"/>
          <w:szCs w:val="32"/>
          <w:highlight w:val="none"/>
        </w:rPr>
        <w:t>（图</w:t>
      </w:r>
      <w:r>
        <w:rPr>
          <w:rFonts w:ascii="仿宋" w:hAnsi="仿宋" w:eastAsia="仿宋"/>
          <w:color w:val="000000"/>
          <w:szCs w:val="32"/>
          <w:highlight w:val="none"/>
        </w:rPr>
        <w:t>4</w:t>
      </w:r>
      <w:r>
        <w:rPr>
          <w:rFonts w:hint="eastAsia" w:ascii="仿宋" w:hAnsi="仿宋" w:eastAsia="仿宋"/>
          <w:color w:val="000000"/>
          <w:szCs w:val="32"/>
          <w:highlight w:val="none"/>
        </w:rPr>
        <w:t>：财政拨款收、支决算总计变动情况）（柱状图）</w:t>
      </w:r>
    </w:p>
    <w:p>
      <w:pPr>
        <w:spacing w:line="600" w:lineRule="exact"/>
        <w:ind w:firstLine="640"/>
        <w:rPr>
          <w:rFonts w:ascii="仿宋" w:hAnsi="仿宋" w:eastAsia="仿宋"/>
          <w:b/>
          <w:color w:val="00B050"/>
          <w:szCs w:val="32"/>
          <w:highlight w:val="none"/>
        </w:rPr>
      </w:pPr>
    </w:p>
    <w:p>
      <w:pPr>
        <w:pStyle w:val="2"/>
        <w:ind w:left="2560"/>
        <w:rPr>
          <w:highlight w:val="none"/>
        </w:rPr>
      </w:pPr>
      <w:r>
        <w:rPr>
          <w:highlight w:val="none"/>
        </w:rPr>
        <w:drawing>
          <wp:anchor distT="0" distB="0" distL="114300" distR="114300" simplePos="0" relativeHeight="251661312" behindDoc="0" locked="0" layoutInCell="1" allowOverlap="1">
            <wp:simplePos x="0" y="0"/>
            <wp:positionH relativeFrom="column">
              <wp:posOffset>688340</wp:posOffset>
            </wp:positionH>
            <wp:positionV relativeFrom="paragraph">
              <wp:posOffset>92710</wp:posOffset>
            </wp:positionV>
            <wp:extent cx="4182110" cy="2161540"/>
            <wp:effectExtent l="4445" t="5080" r="23495" b="5080"/>
            <wp:wrapSquare wrapText="bothSides"/>
            <wp:docPr id="8"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pPr>
        <w:pStyle w:val="2"/>
        <w:ind w:left="2560"/>
        <w:rPr>
          <w:rFonts w:ascii="仿宋" w:hAnsi="仿宋" w:eastAsia="仿宋"/>
          <w:b/>
          <w:color w:val="00B050"/>
          <w:szCs w:val="32"/>
          <w:highlight w:val="none"/>
        </w:rPr>
      </w:pPr>
    </w:p>
    <w:p>
      <w:pPr>
        <w:rPr>
          <w:rFonts w:ascii="仿宋" w:hAnsi="仿宋" w:eastAsia="仿宋"/>
          <w:b/>
          <w:color w:val="00B050"/>
          <w:szCs w:val="32"/>
          <w:highlight w:val="none"/>
        </w:rPr>
      </w:pPr>
    </w:p>
    <w:p>
      <w:pPr>
        <w:pStyle w:val="2"/>
        <w:ind w:left="2560"/>
        <w:rPr>
          <w:highlight w:val="none"/>
        </w:rPr>
      </w:pPr>
    </w:p>
    <w:p>
      <w:pPr>
        <w:rPr>
          <w:highlight w:val="none"/>
        </w:rPr>
      </w:pPr>
    </w:p>
    <w:p>
      <w:pPr>
        <w:pStyle w:val="2"/>
        <w:ind w:left="2560"/>
        <w:rPr>
          <w:highlight w:val="none"/>
        </w:rPr>
      </w:pPr>
    </w:p>
    <w:p>
      <w:pPr>
        <w:spacing w:line="600" w:lineRule="exact"/>
        <w:ind w:firstLine="640" w:firstLineChars="200"/>
        <w:outlineLvl w:val="1"/>
        <w:rPr>
          <w:rStyle w:val="21"/>
          <w:rFonts w:ascii="黑体" w:hAnsi="黑体" w:eastAsia="黑体"/>
          <w:b w:val="0"/>
          <w:highlight w:val="none"/>
        </w:rPr>
      </w:pPr>
      <w:bookmarkStart w:id="26" w:name="_Toc15396607"/>
      <w:bookmarkStart w:id="27" w:name="_Toc15377209"/>
      <w:bookmarkStart w:id="28" w:name="_Toc10967"/>
      <w:r>
        <w:rPr>
          <w:rFonts w:hint="eastAsia" w:ascii="黑体" w:hAnsi="黑体" w:eastAsia="黑体"/>
          <w:color w:val="000000"/>
          <w:szCs w:val="32"/>
          <w:highlight w:val="none"/>
        </w:rPr>
        <w:t>五、</w:t>
      </w:r>
      <w:r>
        <w:rPr>
          <w:rFonts w:hint="eastAsia" w:ascii="黑体" w:hAnsi="黑体" w:eastAsia="黑体"/>
          <w:b/>
          <w:color w:val="000000"/>
          <w:szCs w:val="32"/>
          <w:highlight w:val="none"/>
        </w:rPr>
        <w:t>一</w:t>
      </w:r>
      <w:r>
        <w:rPr>
          <w:rStyle w:val="21"/>
          <w:rFonts w:hint="eastAsia" w:ascii="黑体" w:hAnsi="黑体" w:eastAsia="黑体"/>
          <w:b w:val="0"/>
          <w:highlight w:val="none"/>
        </w:rPr>
        <w:t>般公共预算财政拨款支出决算情况说明</w:t>
      </w:r>
      <w:bookmarkEnd w:id="26"/>
      <w:bookmarkEnd w:id="27"/>
      <w:bookmarkEnd w:id="28"/>
    </w:p>
    <w:p>
      <w:pPr>
        <w:spacing w:line="600" w:lineRule="exact"/>
        <w:ind w:firstLine="643" w:firstLineChars="200"/>
        <w:outlineLvl w:val="2"/>
        <w:rPr>
          <w:rFonts w:ascii="仿宋" w:hAnsi="仿宋" w:eastAsia="仿宋"/>
          <w:b/>
          <w:color w:val="000000"/>
          <w:szCs w:val="32"/>
          <w:highlight w:val="none"/>
        </w:rPr>
      </w:pPr>
      <w:bookmarkStart w:id="29" w:name="_Toc15377210"/>
      <w:r>
        <w:rPr>
          <w:rFonts w:hint="eastAsia" w:ascii="仿宋" w:hAnsi="仿宋" w:eastAsia="仿宋"/>
          <w:b/>
          <w:color w:val="000000"/>
          <w:szCs w:val="32"/>
          <w:highlight w:val="none"/>
        </w:rPr>
        <w:t>（一）一般公共预算财政拨款支出决算总体情况</w:t>
      </w:r>
      <w:bookmarkEnd w:id="29"/>
    </w:p>
    <w:p>
      <w:pPr>
        <w:spacing w:line="600" w:lineRule="exact"/>
        <w:ind w:firstLine="640" w:firstLineChars="200"/>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一般公共预算财政拨款支出945.64万元，占本年支出合计的100</w:t>
      </w:r>
      <w:r>
        <w:rPr>
          <w:rFonts w:ascii="仿宋" w:hAnsi="仿宋" w:eastAsia="仿宋"/>
          <w:color w:val="000000"/>
          <w:szCs w:val="32"/>
          <w:highlight w:val="none"/>
        </w:rPr>
        <w:t>%</w:t>
      </w:r>
      <w:r>
        <w:rPr>
          <w:rFonts w:hint="eastAsia" w:ascii="仿宋" w:hAnsi="仿宋" w:eastAsia="仿宋"/>
          <w:color w:val="000000"/>
          <w:szCs w:val="32"/>
          <w:highlight w:val="none"/>
        </w:rPr>
        <w:t>。与</w:t>
      </w:r>
      <w:r>
        <w:rPr>
          <w:rFonts w:ascii="仿宋" w:hAnsi="仿宋" w:eastAsia="仿宋"/>
          <w:color w:val="000000"/>
          <w:szCs w:val="32"/>
          <w:highlight w:val="none"/>
        </w:rPr>
        <w:t>2019</w:t>
      </w:r>
      <w:r>
        <w:rPr>
          <w:rFonts w:hint="eastAsia" w:ascii="仿宋" w:hAnsi="仿宋" w:eastAsia="仿宋"/>
          <w:color w:val="000000"/>
          <w:szCs w:val="32"/>
          <w:highlight w:val="none"/>
        </w:rPr>
        <w:t>年相比，一般公共预算财政拨款减少33.55万元，下降3.43</w:t>
      </w:r>
      <w:r>
        <w:rPr>
          <w:rFonts w:ascii="仿宋" w:hAnsi="仿宋" w:eastAsia="仿宋"/>
          <w:color w:val="000000"/>
          <w:szCs w:val="32"/>
          <w:highlight w:val="none"/>
        </w:rPr>
        <w:t>%</w:t>
      </w:r>
      <w:r>
        <w:rPr>
          <w:rFonts w:hint="eastAsia" w:ascii="仿宋" w:hAnsi="仿宋" w:eastAsia="仿宋"/>
          <w:color w:val="000000"/>
          <w:szCs w:val="32"/>
          <w:highlight w:val="none"/>
        </w:rPr>
        <w:t>。主要变动原因是节约为主、压缩开支。</w:t>
      </w:r>
    </w:p>
    <w:p>
      <w:pPr>
        <w:spacing w:line="600" w:lineRule="exact"/>
        <w:ind w:firstLine="643" w:firstLineChars="200"/>
        <w:outlineLvl w:val="2"/>
        <w:rPr>
          <w:rFonts w:ascii="仿宋" w:hAnsi="仿宋" w:eastAsia="仿宋"/>
          <w:b/>
          <w:color w:val="000000"/>
          <w:szCs w:val="32"/>
          <w:highlight w:val="none"/>
        </w:rPr>
      </w:pPr>
      <w:bookmarkStart w:id="30" w:name="_Toc15377211"/>
      <w:r>
        <w:rPr>
          <w:rFonts w:hint="eastAsia" w:ascii="仿宋" w:hAnsi="仿宋" w:eastAsia="仿宋"/>
          <w:b/>
          <w:color w:val="000000"/>
          <w:szCs w:val="32"/>
          <w:highlight w:val="none"/>
        </w:rPr>
        <w:t>（二）一般公共预算财政拨款支出决算结构情况</w:t>
      </w:r>
      <w:bookmarkEnd w:id="30"/>
    </w:p>
    <w:p>
      <w:pPr>
        <w:spacing w:line="600" w:lineRule="exact"/>
        <w:ind w:firstLine="640"/>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一般公共预算财政拨款支出945.64万元，主要用于以下方面</w:t>
      </w:r>
      <w:r>
        <w:rPr>
          <w:rFonts w:ascii="仿宋" w:hAnsi="仿宋" w:eastAsia="仿宋"/>
          <w:color w:val="000000"/>
          <w:szCs w:val="32"/>
          <w:highlight w:val="none"/>
        </w:rPr>
        <w:t>:</w:t>
      </w:r>
      <w:r>
        <w:rPr>
          <w:rFonts w:hint="eastAsia" w:ascii="仿宋" w:hAnsi="仿宋" w:eastAsia="仿宋"/>
          <w:b/>
          <w:color w:val="000000"/>
          <w:szCs w:val="32"/>
          <w:highlight w:val="none"/>
        </w:rPr>
        <w:t>一般公共服务（类）</w:t>
      </w:r>
      <w:r>
        <w:rPr>
          <w:rFonts w:hint="eastAsia" w:ascii="仿宋" w:hAnsi="仿宋" w:eastAsia="仿宋"/>
          <w:color w:val="000000"/>
          <w:szCs w:val="32"/>
          <w:highlight w:val="none"/>
        </w:rPr>
        <w:t>支出859.26万元，占90.87</w:t>
      </w:r>
      <w:r>
        <w:rPr>
          <w:rFonts w:ascii="仿宋" w:hAnsi="仿宋" w:eastAsia="仿宋"/>
          <w:color w:val="000000"/>
          <w:szCs w:val="32"/>
          <w:highlight w:val="none"/>
        </w:rPr>
        <w:t>%</w:t>
      </w:r>
      <w:r>
        <w:rPr>
          <w:rFonts w:hint="eastAsia" w:ascii="仿宋" w:hAnsi="仿宋" w:eastAsia="仿宋"/>
          <w:color w:val="000000"/>
          <w:szCs w:val="32"/>
          <w:highlight w:val="none"/>
        </w:rPr>
        <w:t>；</w:t>
      </w:r>
      <w:r>
        <w:rPr>
          <w:rFonts w:hint="eastAsia" w:ascii="仿宋" w:hAnsi="仿宋" w:eastAsia="仿宋"/>
          <w:b/>
          <w:color w:val="000000"/>
          <w:szCs w:val="32"/>
          <w:highlight w:val="none"/>
        </w:rPr>
        <w:t>教育支出（类）</w:t>
      </w:r>
      <w:r>
        <w:rPr>
          <w:rFonts w:hint="eastAsia" w:ascii="仿宋" w:hAnsi="仿宋" w:eastAsia="仿宋"/>
          <w:color w:val="000000"/>
          <w:szCs w:val="32"/>
          <w:highlight w:val="none"/>
        </w:rPr>
        <w:t>0万元，占0</w:t>
      </w:r>
      <w:r>
        <w:rPr>
          <w:rFonts w:ascii="仿宋" w:hAnsi="仿宋" w:eastAsia="仿宋"/>
          <w:color w:val="000000"/>
          <w:szCs w:val="32"/>
          <w:highlight w:val="none"/>
        </w:rPr>
        <w:t>%</w:t>
      </w:r>
      <w:r>
        <w:rPr>
          <w:rFonts w:hint="eastAsia" w:ascii="仿宋" w:hAnsi="仿宋" w:eastAsia="仿宋"/>
          <w:color w:val="000000"/>
          <w:szCs w:val="32"/>
          <w:highlight w:val="none"/>
        </w:rPr>
        <w:t>；</w:t>
      </w:r>
      <w:r>
        <w:rPr>
          <w:rFonts w:hint="eastAsia" w:ascii="仿宋" w:hAnsi="仿宋" w:eastAsia="仿宋"/>
          <w:b/>
          <w:color w:val="000000"/>
          <w:szCs w:val="32"/>
          <w:highlight w:val="none"/>
        </w:rPr>
        <w:t>科学技术（类）</w:t>
      </w:r>
      <w:r>
        <w:rPr>
          <w:rFonts w:hint="eastAsia" w:ascii="仿宋" w:hAnsi="仿宋" w:eastAsia="仿宋"/>
          <w:color w:val="000000"/>
          <w:szCs w:val="32"/>
          <w:highlight w:val="none"/>
        </w:rPr>
        <w:t>支出0万元，占0</w:t>
      </w:r>
      <w:r>
        <w:rPr>
          <w:rFonts w:ascii="仿宋" w:hAnsi="仿宋" w:eastAsia="仿宋"/>
          <w:color w:val="000000"/>
          <w:szCs w:val="32"/>
          <w:highlight w:val="none"/>
        </w:rPr>
        <w:t>%</w:t>
      </w:r>
      <w:r>
        <w:rPr>
          <w:rFonts w:hint="eastAsia" w:ascii="仿宋" w:hAnsi="仿宋" w:eastAsia="仿宋"/>
          <w:color w:val="000000"/>
          <w:szCs w:val="32"/>
          <w:highlight w:val="none"/>
        </w:rPr>
        <w:t>；</w:t>
      </w:r>
      <w:r>
        <w:rPr>
          <w:rFonts w:hint="eastAsia" w:ascii="仿宋" w:hAnsi="仿宋" w:eastAsia="仿宋"/>
          <w:b/>
          <w:bCs/>
          <w:color w:val="000000"/>
          <w:szCs w:val="32"/>
          <w:highlight w:val="none"/>
        </w:rPr>
        <w:t>文化旅游体育与传媒（类）支出0万元，占0</w:t>
      </w:r>
      <w:r>
        <w:rPr>
          <w:rFonts w:ascii="仿宋" w:hAnsi="仿宋" w:eastAsia="仿宋"/>
          <w:b/>
          <w:bCs/>
          <w:color w:val="000000"/>
          <w:szCs w:val="32"/>
          <w:highlight w:val="none"/>
        </w:rPr>
        <w:t>%</w:t>
      </w:r>
      <w:r>
        <w:rPr>
          <w:rFonts w:hint="eastAsia" w:ascii="仿宋" w:hAnsi="仿宋" w:eastAsia="仿宋"/>
          <w:color w:val="000000"/>
          <w:szCs w:val="32"/>
          <w:highlight w:val="none"/>
        </w:rPr>
        <w:t>；</w:t>
      </w:r>
      <w:r>
        <w:rPr>
          <w:rFonts w:hint="eastAsia" w:ascii="仿宋" w:hAnsi="仿宋" w:eastAsia="仿宋"/>
          <w:b/>
          <w:color w:val="000000"/>
          <w:szCs w:val="32"/>
          <w:highlight w:val="none"/>
        </w:rPr>
        <w:t>社会保障和就业（类）</w:t>
      </w:r>
      <w:r>
        <w:rPr>
          <w:rFonts w:hint="eastAsia" w:ascii="仿宋" w:hAnsi="仿宋" w:eastAsia="仿宋"/>
          <w:color w:val="000000"/>
          <w:szCs w:val="32"/>
          <w:highlight w:val="none"/>
        </w:rPr>
        <w:t>支出44.74万元，占4.73</w:t>
      </w:r>
      <w:r>
        <w:rPr>
          <w:rFonts w:ascii="仿宋" w:hAnsi="仿宋" w:eastAsia="仿宋"/>
          <w:color w:val="000000"/>
          <w:szCs w:val="32"/>
          <w:highlight w:val="none"/>
        </w:rPr>
        <w:t>%</w:t>
      </w:r>
      <w:r>
        <w:rPr>
          <w:rFonts w:hint="eastAsia" w:ascii="仿宋" w:hAnsi="仿宋" w:eastAsia="仿宋"/>
          <w:color w:val="000000"/>
          <w:szCs w:val="32"/>
          <w:highlight w:val="none"/>
        </w:rPr>
        <w:t>；</w:t>
      </w:r>
      <w:r>
        <w:rPr>
          <w:rFonts w:hint="eastAsia" w:ascii="仿宋" w:hAnsi="仿宋" w:eastAsia="仿宋"/>
          <w:b/>
          <w:bCs/>
          <w:color w:val="000000"/>
          <w:szCs w:val="32"/>
          <w:highlight w:val="none"/>
        </w:rPr>
        <w:t>卫生健康支出</w:t>
      </w:r>
      <w:r>
        <w:rPr>
          <w:rFonts w:hint="eastAsia" w:ascii="仿宋" w:hAnsi="仿宋" w:eastAsia="仿宋"/>
          <w:color w:val="000000"/>
          <w:szCs w:val="32"/>
          <w:highlight w:val="none"/>
        </w:rPr>
        <w:t>16.25万元，占1.72</w:t>
      </w:r>
      <w:r>
        <w:rPr>
          <w:rFonts w:ascii="仿宋" w:hAnsi="仿宋" w:eastAsia="仿宋"/>
          <w:color w:val="000000"/>
          <w:szCs w:val="32"/>
          <w:highlight w:val="none"/>
        </w:rPr>
        <w:t>%</w:t>
      </w:r>
      <w:r>
        <w:rPr>
          <w:rFonts w:hint="eastAsia" w:ascii="仿宋" w:hAnsi="仿宋" w:eastAsia="仿宋"/>
          <w:color w:val="000000"/>
          <w:szCs w:val="32"/>
          <w:highlight w:val="none"/>
        </w:rPr>
        <w:t>；住房保障支出25.39万元，占2.68</w:t>
      </w:r>
      <w:r>
        <w:rPr>
          <w:rFonts w:ascii="仿宋" w:hAnsi="仿宋" w:eastAsia="仿宋"/>
          <w:color w:val="000000"/>
          <w:szCs w:val="32"/>
          <w:highlight w:val="none"/>
        </w:rPr>
        <w:t>%</w:t>
      </w:r>
      <w:r>
        <w:rPr>
          <w:rFonts w:hint="eastAsia" w:ascii="仿宋" w:hAnsi="仿宋" w:eastAsia="仿宋"/>
          <w:color w:val="000000"/>
          <w:szCs w:val="32"/>
          <w:highlight w:val="none"/>
        </w:rPr>
        <w:t>。</w:t>
      </w:r>
      <w:r>
        <w:rPr>
          <w:rFonts w:hint="eastAsia" w:ascii="仿宋" w:hAnsi="仿宋" w:eastAsia="仿宋"/>
          <w:b/>
          <w:color w:val="000000"/>
          <w:szCs w:val="32"/>
          <w:highlight w:val="none"/>
        </w:rPr>
        <w:t>（罗列全部功能分类科目，至类级。）</w:t>
      </w:r>
    </w:p>
    <w:p>
      <w:pPr>
        <w:spacing w:line="600" w:lineRule="exact"/>
        <w:ind w:firstLine="640" w:firstLineChars="200"/>
        <w:rPr>
          <w:rFonts w:ascii="仿宋" w:hAnsi="仿宋" w:eastAsia="仿宋"/>
          <w:color w:val="000000"/>
          <w:szCs w:val="32"/>
          <w:highlight w:val="none"/>
        </w:rPr>
      </w:pPr>
      <w:r>
        <w:rPr>
          <w:rFonts w:hint="eastAsia" w:ascii="仿宋" w:hAnsi="仿宋" w:eastAsia="仿宋"/>
          <w:color w:val="000000"/>
          <w:szCs w:val="32"/>
          <w:highlight w:val="none"/>
        </w:rPr>
        <w:t>（图</w:t>
      </w:r>
      <w:r>
        <w:rPr>
          <w:rFonts w:ascii="仿宋" w:hAnsi="仿宋" w:eastAsia="仿宋"/>
          <w:color w:val="000000"/>
          <w:szCs w:val="32"/>
          <w:highlight w:val="none"/>
        </w:rPr>
        <w:t>6</w:t>
      </w:r>
      <w:r>
        <w:rPr>
          <w:rFonts w:hint="eastAsia" w:ascii="仿宋" w:hAnsi="仿宋" w:eastAsia="仿宋"/>
          <w:color w:val="000000"/>
          <w:szCs w:val="32"/>
          <w:highlight w:val="none"/>
        </w:rPr>
        <w:t>：一般公共预算财政拨款支出决算结构）（饼状图）</w:t>
      </w:r>
    </w:p>
    <w:p>
      <w:pPr>
        <w:spacing w:line="600" w:lineRule="exact"/>
        <w:ind w:firstLine="640" w:firstLineChars="200"/>
        <w:rPr>
          <w:rFonts w:ascii="仿宋" w:hAnsi="仿宋" w:eastAsia="仿宋"/>
          <w:color w:val="000000"/>
          <w:szCs w:val="32"/>
          <w:highlight w:val="none"/>
        </w:rPr>
      </w:pPr>
    </w:p>
    <w:p>
      <w:pPr>
        <w:pStyle w:val="2"/>
        <w:ind w:left="0" w:leftChars="0"/>
        <w:jc w:val="center"/>
        <w:rPr>
          <w:rFonts w:ascii="仿宋" w:hAnsi="仿宋" w:eastAsia="仿宋"/>
          <w:color w:val="000000"/>
          <w:szCs w:val="32"/>
          <w:highlight w:val="none"/>
        </w:rPr>
      </w:pPr>
      <w:r>
        <w:rPr>
          <w:highlight w:val="none"/>
        </w:rPr>
        <w:drawing>
          <wp:inline distT="0" distB="0" distL="114300" distR="114300">
            <wp:extent cx="4572000" cy="2743200"/>
            <wp:effectExtent l="4445" t="4445" r="14605" b="14605"/>
            <wp:docPr id="7"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rPr>
          <w:highlight w:val="none"/>
        </w:rPr>
      </w:pPr>
    </w:p>
    <w:p>
      <w:pPr>
        <w:spacing w:line="600" w:lineRule="exact"/>
        <w:ind w:firstLine="643" w:firstLineChars="200"/>
        <w:outlineLvl w:val="2"/>
        <w:rPr>
          <w:rFonts w:ascii="仿宋" w:hAnsi="仿宋" w:eastAsia="仿宋"/>
          <w:b/>
          <w:color w:val="000000"/>
          <w:szCs w:val="32"/>
          <w:highlight w:val="none"/>
        </w:rPr>
      </w:pPr>
      <w:bookmarkStart w:id="31" w:name="_Toc15377212"/>
      <w:r>
        <w:rPr>
          <w:rFonts w:hint="eastAsia" w:ascii="仿宋" w:hAnsi="仿宋" w:eastAsia="仿宋"/>
          <w:b/>
          <w:color w:val="000000"/>
          <w:szCs w:val="32"/>
          <w:highlight w:val="none"/>
        </w:rPr>
        <w:t>（三）一般公共预算财政拨款支出决算具体情况</w:t>
      </w:r>
      <w:bookmarkEnd w:id="31"/>
    </w:p>
    <w:p>
      <w:pPr>
        <w:spacing w:line="600" w:lineRule="exact"/>
        <w:ind w:firstLine="643" w:firstLineChars="200"/>
        <w:rPr>
          <w:rFonts w:ascii="仿宋" w:hAnsi="仿宋" w:eastAsia="仿宋"/>
          <w:color w:val="FF0000"/>
          <w:szCs w:val="32"/>
          <w:highlight w:val="none"/>
        </w:rPr>
      </w:pPr>
      <w:bookmarkStart w:id="32" w:name="_Toc15377213"/>
      <w:bookmarkStart w:id="33" w:name="_Toc15377444"/>
      <w:bookmarkStart w:id="34" w:name="_Toc15378460"/>
      <w:r>
        <w:rPr>
          <w:rFonts w:ascii="仿宋" w:hAnsi="仿宋" w:eastAsia="仿宋"/>
          <w:b/>
          <w:color w:val="000000"/>
          <w:szCs w:val="32"/>
          <w:highlight w:val="none"/>
        </w:rPr>
        <w:t>2020</w:t>
      </w:r>
      <w:r>
        <w:rPr>
          <w:rFonts w:hint="eastAsia" w:ascii="仿宋" w:hAnsi="仿宋" w:eastAsia="仿宋"/>
          <w:b/>
          <w:color w:val="000000"/>
          <w:szCs w:val="32"/>
          <w:highlight w:val="none"/>
        </w:rPr>
        <w:t>年一般公共预算支出决算数为945.64</w:t>
      </w:r>
      <w:r>
        <w:rPr>
          <w:rFonts w:hint="eastAsia" w:ascii="仿宋" w:hAnsi="仿宋" w:eastAsia="仿宋"/>
          <w:color w:val="000000"/>
          <w:szCs w:val="32"/>
          <w:highlight w:val="none"/>
        </w:rPr>
        <w:t>，</w:t>
      </w:r>
      <w:r>
        <w:rPr>
          <w:rStyle w:val="18"/>
          <w:rFonts w:hint="eastAsia" w:ascii="仿宋" w:hAnsi="仿宋" w:eastAsia="仿宋"/>
          <w:bCs/>
          <w:color w:val="000000"/>
          <w:szCs w:val="32"/>
          <w:highlight w:val="none"/>
        </w:rPr>
        <w:t>完成预算100</w:t>
      </w:r>
      <w:r>
        <w:rPr>
          <w:rStyle w:val="18"/>
          <w:rFonts w:ascii="仿宋" w:hAnsi="仿宋" w:eastAsia="仿宋"/>
          <w:bCs/>
          <w:color w:val="000000"/>
          <w:szCs w:val="32"/>
          <w:highlight w:val="none"/>
        </w:rPr>
        <w:t>%</w:t>
      </w:r>
      <w:r>
        <w:rPr>
          <w:rStyle w:val="18"/>
          <w:rFonts w:hint="eastAsia" w:ascii="仿宋" w:hAnsi="仿宋" w:eastAsia="仿宋"/>
          <w:bCs/>
          <w:color w:val="000000"/>
          <w:szCs w:val="32"/>
          <w:highlight w:val="none"/>
        </w:rPr>
        <w:t>。其中：</w:t>
      </w:r>
      <w:bookmarkEnd w:id="32"/>
      <w:bookmarkEnd w:id="33"/>
      <w:bookmarkEnd w:id="34"/>
    </w:p>
    <w:p>
      <w:pPr>
        <w:spacing w:line="600" w:lineRule="exact"/>
        <w:ind w:firstLine="643" w:firstLineChars="200"/>
        <w:rPr>
          <w:rStyle w:val="18"/>
          <w:rFonts w:ascii="仿宋" w:hAnsi="仿宋" w:eastAsia="仿宋"/>
          <w:b w:val="0"/>
          <w:bCs/>
          <w:color w:val="000000"/>
          <w:szCs w:val="32"/>
          <w:highlight w:val="none"/>
        </w:rPr>
      </w:pPr>
      <w:r>
        <w:rPr>
          <w:rStyle w:val="18"/>
          <w:rFonts w:ascii="仿宋" w:hAnsi="仿宋" w:eastAsia="仿宋"/>
          <w:bCs/>
          <w:color w:val="000000"/>
          <w:szCs w:val="32"/>
          <w:highlight w:val="none"/>
        </w:rPr>
        <w:t>1.</w:t>
      </w:r>
      <w:r>
        <w:rPr>
          <w:rStyle w:val="18"/>
          <w:rFonts w:hint="eastAsia" w:ascii="仿宋" w:hAnsi="仿宋" w:eastAsia="仿宋"/>
          <w:bCs/>
          <w:color w:val="000000"/>
          <w:szCs w:val="32"/>
          <w:highlight w:val="none"/>
        </w:rPr>
        <w:t>一般公共服务支出（类）纪检监察事务（款）行政运行（项）</w:t>
      </w:r>
      <w:r>
        <w:rPr>
          <w:rStyle w:val="18"/>
          <w:rFonts w:ascii="仿宋" w:hAnsi="仿宋" w:eastAsia="仿宋"/>
          <w:bCs/>
          <w:color w:val="000000"/>
          <w:szCs w:val="32"/>
          <w:highlight w:val="none"/>
        </w:rPr>
        <w:t>:</w:t>
      </w:r>
      <w:r>
        <w:rPr>
          <w:rStyle w:val="18"/>
          <w:rFonts w:hint="eastAsia" w:ascii="仿宋" w:hAnsi="仿宋" w:eastAsia="仿宋"/>
          <w:b w:val="0"/>
          <w:bCs/>
          <w:color w:val="000000"/>
          <w:szCs w:val="32"/>
          <w:highlight w:val="none"/>
        </w:rPr>
        <w:t>支出决算为339.63万元，完成预算100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p>
    <w:p>
      <w:pPr>
        <w:spacing w:line="600" w:lineRule="exact"/>
        <w:ind w:firstLine="643" w:firstLineChars="200"/>
        <w:rPr>
          <w:rStyle w:val="18"/>
          <w:rFonts w:ascii="仿宋" w:hAnsi="仿宋" w:eastAsia="仿宋"/>
          <w:b w:val="0"/>
          <w:bCs/>
          <w:color w:val="000000"/>
          <w:szCs w:val="32"/>
          <w:highlight w:val="none"/>
        </w:rPr>
      </w:pPr>
      <w:r>
        <w:rPr>
          <w:rStyle w:val="18"/>
          <w:rFonts w:hint="eastAsia" w:ascii="仿宋" w:hAnsi="仿宋" w:eastAsia="仿宋"/>
          <w:bCs/>
          <w:color w:val="000000"/>
          <w:szCs w:val="32"/>
          <w:highlight w:val="none"/>
        </w:rPr>
        <w:t>2.一般公共服务支出（类）纪检监察事务（款）事业运行（项）</w:t>
      </w:r>
      <w:r>
        <w:rPr>
          <w:rStyle w:val="18"/>
          <w:rFonts w:ascii="仿宋" w:hAnsi="仿宋" w:eastAsia="仿宋"/>
          <w:bCs/>
          <w:color w:val="000000"/>
          <w:szCs w:val="32"/>
          <w:highlight w:val="none"/>
        </w:rPr>
        <w:t>:</w:t>
      </w:r>
      <w:r>
        <w:rPr>
          <w:rStyle w:val="18"/>
          <w:rFonts w:hint="eastAsia" w:ascii="仿宋" w:hAnsi="仿宋" w:eastAsia="仿宋"/>
          <w:b w:val="0"/>
          <w:bCs/>
          <w:color w:val="000000"/>
          <w:szCs w:val="32"/>
          <w:highlight w:val="none"/>
        </w:rPr>
        <w:t>支出决算为4.5万元，完成预算100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p>
    <w:p>
      <w:pPr>
        <w:spacing w:line="600" w:lineRule="exact"/>
        <w:ind w:firstLine="643" w:firstLineChars="200"/>
        <w:rPr>
          <w:rStyle w:val="18"/>
          <w:rFonts w:ascii="仿宋" w:hAnsi="仿宋" w:eastAsia="仿宋"/>
          <w:b w:val="0"/>
          <w:bCs/>
          <w:color w:val="000000"/>
          <w:szCs w:val="32"/>
          <w:highlight w:val="none"/>
        </w:rPr>
      </w:pPr>
      <w:r>
        <w:rPr>
          <w:rStyle w:val="18"/>
          <w:rFonts w:ascii="仿宋" w:hAnsi="仿宋" w:eastAsia="仿宋"/>
          <w:bCs/>
          <w:color w:val="000000"/>
          <w:szCs w:val="32"/>
          <w:highlight w:val="none"/>
        </w:rPr>
        <w:t>3.</w:t>
      </w:r>
      <w:r>
        <w:rPr>
          <w:rStyle w:val="18"/>
          <w:rFonts w:hint="eastAsia" w:ascii="仿宋" w:hAnsi="仿宋" w:eastAsia="仿宋"/>
          <w:bCs/>
          <w:color w:val="000000"/>
          <w:szCs w:val="32"/>
          <w:highlight w:val="none"/>
        </w:rPr>
        <w:t>一般公共服务支出（类）纪检监察事务（款）其他纪检监察事务支出（项）</w:t>
      </w:r>
      <w:r>
        <w:rPr>
          <w:rStyle w:val="18"/>
          <w:rFonts w:ascii="仿宋" w:hAnsi="仿宋" w:eastAsia="仿宋"/>
          <w:bCs/>
          <w:color w:val="000000"/>
          <w:szCs w:val="32"/>
          <w:highlight w:val="none"/>
        </w:rPr>
        <w:t>:</w:t>
      </w:r>
      <w:r>
        <w:rPr>
          <w:rStyle w:val="18"/>
          <w:rFonts w:hint="eastAsia" w:ascii="仿宋" w:hAnsi="仿宋" w:eastAsia="仿宋"/>
          <w:b w:val="0"/>
          <w:bCs/>
          <w:color w:val="000000"/>
          <w:szCs w:val="32"/>
          <w:highlight w:val="none"/>
        </w:rPr>
        <w:t>支出决算为515.13万元，完成预算100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p>
    <w:p>
      <w:pPr>
        <w:spacing w:line="600" w:lineRule="exact"/>
        <w:ind w:firstLine="643" w:firstLineChars="200"/>
        <w:rPr>
          <w:rFonts w:ascii="仿宋" w:hAnsi="仿宋" w:eastAsia="仿宋"/>
          <w:b/>
          <w:color w:val="000000"/>
          <w:szCs w:val="32"/>
          <w:highlight w:val="none"/>
        </w:rPr>
      </w:pPr>
      <w:r>
        <w:rPr>
          <w:rStyle w:val="18"/>
          <w:rFonts w:ascii="仿宋" w:hAnsi="仿宋" w:eastAsia="仿宋"/>
          <w:bCs/>
          <w:color w:val="000000"/>
          <w:szCs w:val="32"/>
          <w:highlight w:val="none"/>
        </w:rPr>
        <w:t>4.</w:t>
      </w:r>
      <w:r>
        <w:rPr>
          <w:rStyle w:val="18"/>
          <w:rFonts w:hint="eastAsia" w:ascii="仿宋" w:hAnsi="仿宋" w:eastAsia="仿宋"/>
          <w:bCs/>
          <w:color w:val="000000"/>
          <w:szCs w:val="32"/>
          <w:highlight w:val="none"/>
        </w:rPr>
        <w:t>社会保障和就业支出（类）行政事业单位养老支出（款）行政单位离退休（项）</w:t>
      </w:r>
      <w:r>
        <w:rPr>
          <w:rStyle w:val="18"/>
          <w:rFonts w:ascii="仿宋" w:hAnsi="仿宋" w:eastAsia="仿宋"/>
          <w:bCs/>
          <w:color w:val="000000"/>
          <w:szCs w:val="32"/>
          <w:highlight w:val="none"/>
        </w:rPr>
        <w:t>:</w:t>
      </w:r>
      <w:r>
        <w:rPr>
          <w:rStyle w:val="18"/>
          <w:rFonts w:hint="eastAsia" w:ascii="仿宋" w:hAnsi="仿宋" w:eastAsia="仿宋"/>
          <w:b w:val="0"/>
          <w:bCs/>
          <w:color w:val="000000"/>
          <w:szCs w:val="32"/>
          <w:highlight w:val="none"/>
        </w:rPr>
        <w:t>支出决算为10.91万元，完成预算100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p>
    <w:p>
      <w:pPr>
        <w:spacing w:line="600" w:lineRule="exact"/>
        <w:ind w:firstLine="643" w:firstLineChars="200"/>
        <w:rPr>
          <w:rFonts w:ascii="仿宋" w:hAnsi="仿宋" w:eastAsia="仿宋"/>
          <w:b/>
          <w:color w:val="000000"/>
          <w:szCs w:val="32"/>
          <w:highlight w:val="none"/>
        </w:rPr>
      </w:pPr>
      <w:r>
        <w:rPr>
          <w:rStyle w:val="18"/>
          <w:rFonts w:ascii="仿宋" w:hAnsi="仿宋" w:eastAsia="仿宋"/>
          <w:bCs/>
          <w:color w:val="000000"/>
          <w:szCs w:val="32"/>
          <w:highlight w:val="none"/>
        </w:rPr>
        <w:t>5.</w:t>
      </w:r>
      <w:r>
        <w:rPr>
          <w:rStyle w:val="18"/>
          <w:rFonts w:hint="eastAsia" w:ascii="仿宋" w:hAnsi="仿宋" w:eastAsia="仿宋"/>
          <w:bCs/>
          <w:color w:val="000000"/>
          <w:szCs w:val="32"/>
          <w:highlight w:val="none"/>
        </w:rPr>
        <w:t>社会保障和就业支出（类）行政事业单位养老支出（款）机关事业单位基本养老保险缴费支出（项）</w:t>
      </w:r>
      <w:r>
        <w:rPr>
          <w:rStyle w:val="18"/>
          <w:rFonts w:ascii="仿宋" w:hAnsi="仿宋" w:eastAsia="仿宋"/>
          <w:bCs/>
          <w:color w:val="000000"/>
          <w:szCs w:val="32"/>
          <w:highlight w:val="none"/>
        </w:rPr>
        <w:t>:</w:t>
      </w:r>
      <w:r>
        <w:rPr>
          <w:rStyle w:val="18"/>
          <w:rFonts w:hint="eastAsia" w:ascii="仿宋" w:hAnsi="仿宋" w:eastAsia="仿宋"/>
          <w:b w:val="0"/>
          <w:bCs/>
          <w:color w:val="000000"/>
          <w:szCs w:val="32"/>
          <w:highlight w:val="none"/>
        </w:rPr>
        <w:t>支出决算为33.52万元，完成预算100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p>
    <w:p>
      <w:pPr>
        <w:spacing w:line="600" w:lineRule="exact"/>
        <w:ind w:firstLine="643" w:firstLineChars="200"/>
        <w:rPr>
          <w:rFonts w:ascii="仿宋" w:hAnsi="仿宋" w:eastAsia="仿宋"/>
          <w:b/>
          <w:color w:val="000000"/>
          <w:szCs w:val="32"/>
          <w:highlight w:val="none"/>
        </w:rPr>
      </w:pPr>
      <w:r>
        <w:rPr>
          <w:rStyle w:val="18"/>
          <w:rFonts w:ascii="仿宋" w:hAnsi="仿宋" w:eastAsia="仿宋"/>
          <w:bCs/>
          <w:color w:val="000000"/>
          <w:szCs w:val="32"/>
          <w:highlight w:val="none"/>
        </w:rPr>
        <w:t>6.</w:t>
      </w:r>
      <w:r>
        <w:rPr>
          <w:rStyle w:val="18"/>
          <w:rFonts w:hint="eastAsia" w:ascii="仿宋" w:hAnsi="仿宋" w:eastAsia="仿宋"/>
          <w:bCs/>
          <w:color w:val="000000"/>
          <w:szCs w:val="32"/>
          <w:highlight w:val="none"/>
        </w:rPr>
        <w:t>社会保障和就业支出（类）</w:t>
      </w:r>
      <w:r>
        <w:rPr>
          <w:rFonts w:hint="eastAsia" w:ascii="仿宋" w:hAnsi="仿宋" w:eastAsia="仿宋"/>
          <w:b/>
          <w:bCs/>
          <w:color w:val="000000"/>
          <w:szCs w:val="32"/>
          <w:highlight w:val="none"/>
        </w:rPr>
        <w:t>其他社会保障和就业支出</w:t>
      </w:r>
      <w:r>
        <w:rPr>
          <w:rStyle w:val="18"/>
          <w:rFonts w:hint="eastAsia" w:ascii="仿宋" w:hAnsi="仿宋" w:eastAsia="仿宋"/>
          <w:bCs/>
          <w:color w:val="000000"/>
          <w:szCs w:val="32"/>
          <w:highlight w:val="none"/>
        </w:rPr>
        <w:t>（款）其他社会保障和就业支出（项）</w:t>
      </w:r>
      <w:r>
        <w:rPr>
          <w:rStyle w:val="18"/>
          <w:rFonts w:ascii="仿宋" w:hAnsi="仿宋" w:eastAsia="仿宋"/>
          <w:bCs/>
          <w:color w:val="000000"/>
          <w:szCs w:val="32"/>
          <w:highlight w:val="none"/>
        </w:rPr>
        <w:t>:</w:t>
      </w:r>
      <w:r>
        <w:rPr>
          <w:rStyle w:val="18"/>
          <w:rFonts w:hint="eastAsia" w:ascii="仿宋" w:hAnsi="仿宋" w:eastAsia="仿宋"/>
          <w:b w:val="0"/>
          <w:bCs/>
          <w:color w:val="000000"/>
          <w:szCs w:val="32"/>
          <w:highlight w:val="none"/>
        </w:rPr>
        <w:t>支出决算为0.31万元，完成预算100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p>
    <w:p>
      <w:pPr>
        <w:spacing w:line="600" w:lineRule="exact"/>
        <w:ind w:firstLine="643" w:firstLineChars="200"/>
        <w:rPr>
          <w:rStyle w:val="18"/>
          <w:rFonts w:ascii="仿宋" w:hAnsi="仿宋" w:eastAsia="仿宋"/>
          <w:b w:val="0"/>
          <w:bCs/>
          <w:color w:val="000000"/>
          <w:szCs w:val="32"/>
          <w:highlight w:val="none"/>
        </w:rPr>
      </w:pPr>
      <w:r>
        <w:rPr>
          <w:rStyle w:val="18"/>
          <w:rFonts w:hint="eastAsia" w:ascii="仿宋" w:hAnsi="仿宋" w:eastAsia="仿宋"/>
          <w:bCs/>
          <w:color w:val="000000"/>
          <w:szCs w:val="32"/>
          <w:highlight w:val="none"/>
        </w:rPr>
        <w:t>7</w:t>
      </w:r>
      <w:r>
        <w:rPr>
          <w:rStyle w:val="18"/>
          <w:rFonts w:ascii="仿宋" w:hAnsi="仿宋" w:eastAsia="仿宋"/>
          <w:bCs/>
          <w:color w:val="000000"/>
          <w:szCs w:val="32"/>
          <w:highlight w:val="none"/>
        </w:rPr>
        <w:t>.</w:t>
      </w:r>
      <w:r>
        <w:rPr>
          <w:rStyle w:val="18"/>
          <w:rFonts w:hint="eastAsia" w:ascii="仿宋" w:hAnsi="仿宋" w:eastAsia="仿宋"/>
          <w:bCs/>
          <w:color w:val="000000"/>
          <w:szCs w:val="32"/>
          <w:highlight w:val="none"/>
        </w:rPr>
        <w:t>卫生健康支出（类）行政事业单位医疗（款）行政单位医疗（项）</w:t>
      </w:r>
      <w:r>
        <w:rPr>
          <w:rStyle w:val="18"/>
          <w:rFonts w:ascii="仿宋" w:hAnsi="仿宋" w:eastAsia="仿宋"/>
          <w:bCs/>
          <w:color w:val="000000"/>
          <w:szCs w:val="32"/>
          <w:highlight w:val="none"/>
        </w:rPr>
        <w:t>:</w:t>
      </w:r>
      <w:r>
        <w:rPr>
          <w:rStyle w:val="18"/>
          <w:rFonts w:hint="eastAsia" w:ascii="仿宋" w:hAnsi="仿宋" w:eastAsia="仿宋"/>
          <w:b w:val="0"/>
          <w:bCs/>
          <w:color w:val="000000"/>
          <w:szCs w:val="32"/>
          <w:highlight w:val="none"/>
        </w:rPr>
        <w:t>支出决算为16.25万元，完成预算100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p>
    <w:p>
      <w:pPr>
        <w:spacing w:line="600" w:lineRule="exact"/>
        <w:ind w:firstLine="643" w:firstLineChars="200"/>
        <w:rPr>
          <w:rFonts w:eastAsia="仿宋"/>
          <w:highlight w:val="none"/>
        </w:rPr>
      </w:pPr>
      <w:r>
        <w:rPr>
          <w:rStyle w:val="18"/>
          <w:rFonts w:hint="eastAsia" w:ascii="仿宋" w:hAnsi="仿宋" w:eastAsia="仿宋"/>
          <w:bCs/>
          <w:color w:val="000000"/>
          <w:szCs w:val="32"/>
          <w:highlight w:val="none"/>
        </w:rPr>
        <w:t>8</w:t>
      </w:r>
      <w:r>
        <w:rPr>
          <w:rStyle w:val="18"/>
          <w:rFonts w:ascii="仿宋" w:hAnsi="仿宋" w:eastAsia="仿宋"/>
          <w:bCs/>
          <w:color w:val="000000"/>
          <w:szCs w:val="32"/>
          <w:highlight w:val="none"/>
        </w:rPr>
        <w:t>.</w:t>
      </w:r>
      <w:r>
        <w:rPr>
          <w:rStyle w:val="18"/>
          <w:rFonts w:hint="eastAsia" w:ascii="仿宋" w:hAnsi="仿宋" w:eastAsia="仿宋"/>
          <w:bCs/>
          <w:color w:val="000000"/>
          <w:szCs w:val="32"/>
          <w:highlight w:val="none"/>
        </w:rPr>
        <w:t>住房保障支出（类）住房改革支出（款）住房公积金（项）</w:t>
      </w:r>
      <w:r>
        <w:rPr>
          <w:rStyle w:val="18"/>
          <w:rFonts w:ascii="仿宋" w:hAnsi="仿宋" w:eastAsia="仿宋"/>
          <w:bCs/>
          <w:color w:val="000000"/>
          <w:szCs w:val="32"/>
          <w:highlight w:val="none"/>
        </w:rPr>
        <w:t>:</w:t>
      </w:r>
      <w:r>
        <w:rPr>
          <w:rStyle w:val="18"/>
          <w:rFonts w:hint="eastAsia" w:ascii="仿宋" w:hAnsi="仿宋" w:eastAsia="仿宋"/>
          <w:b w:val="0"/>
          <w:bCs/>
          <w:color w:val="000000"/>
          <w:szCs w:val="32"/>
          <w:highlight w:val="none"/>
        </w:rPr>
        <w:t>支出决算为25.39万元，完成预算100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p>
    <w:p>
      <w:pPr>
        <w:tabs>
          <w:tab w:val="right" w:pos="8306"/>
        </w:tabs>
        <w:spacing w:line="600" w:lineRule="exact"/>
        <w:ind w:firstLine="640"/>
        <w:outlineLvl w:val="1"/>
        <w:rPr>
          <w:rStyle w:val="21"/>
          <w:highlight w:val="none"/>
        </w:rPr>
      </w:pPr>
      <w:bookmarkStart w:id="35" w:name="_Toc31021"/>
      <w:bookmarkStart w:id="36" w:name="_Toc15377214"/>
      <w:bookmarkStart w:id="37" w:name="_Toc15396608"/>
      <w:r>
        <w:rPr>
          <w:rFonts w:hint="eastAsia" w:ascii="黑体" w:eastAsia="黑体"/>
          <w:color w:val="000000"/>
          <w:szCs w:val="32"/>
          <w:highlight w:val="none"/>
        </w:rPr>
        <w:t>六</w:t>
      </w:r>
      <w:r>
        <w:rPr>
          <w:rFonts w:hint="eastAsia" w:ascii="黑体" w:eastAsia="黑体"/>
          <w:b/>
          <w:color w:val="000000"/>
          <w:szCs w:val="32"/>
          <w:highlight w:val="none"/>
        </w:rPr>
        <w:t>、</w:t>
      </w:r>
      <w:r>
        <w:rPr>
          <w:rFonts w:hint="eastAsia" w:ascii="黑体" w:hAnsi="黑体" w:eastAsia="黑体"/>
          <w:b/>
          <w:color w:val="000000"/>
          <w:szCs w:val="32"/>
          <w:highlight w:val="none"/>
        </w:rPr>
        <w:t>一</w:t>
      </w:r>
      <w:r>
        <w:rPr>
          <w:rStyle w:val="21"/>
          <w:rFonts w:hint="eastAsia" w:ascii="黑体" w:hAnsi="黑体" w:eastAsia="黑体"/>
          <w:b w:val="0"/>
          <w:highlight w:val="none"/>
        </w:rPr>
        <w:t>般公共预算财政拨款基本支出决算情况说明</w:t>
      </w:r>
      <w:bookmarkEnd w:id="35"/>
      <w:bookmarkEnd w:id="36"/>
      <w:bookmarkEnd w:id="37"/>
      <w:r>
        <w:rPr>
          <w:rStyle w:val="21"/>
          <w:rFonts w:ascii="黑体" w:hAnsi="黑体" w:eastAsia="黑体"/>
          <w:b w:val="0"/>
          <w:highlight w:val="none"/>
        </w:rPr>
        <w:tab/>
      </w:r>
    </w:p>
    <w:p>
      <w:pPr>
        <w:spacing w:line="600" w:lineRule="exact"/>
        <w:ind w:firstLine="645"/>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一般公共预算财政拨款基本支出945.64万元，其中：</w:t>
      </w:r>
    </w:p>
    <w:p>
      <w:pPr>
        <w:spacing w:line="600" w:lineRule="exact"/>
        <w:ind w:firstLine="645"/>
        <w:rPr>
          <w:rFonts w:ascii="仿宋" w:hAnsi="仿宋" w:eastAsia="仿宋"/>
          <w:color w:val="000000"/>
          <w:szCs w:val="32"/>
          <w:highlight w:val="none"/>
        </w:rPr>
      </w:pPr>
      <w:r>
        <w:rPr>
          <w:rFonts w:hint="eastAsia" w:ascii="仿宋" w:hAnsi="仿宋" w:eastAsia="仿宋"/>
          <w:color w:val="000000"/>
          <w:szCs w:val="32"/>
          <w:highlight w:val="none"/>
        </w:rPr>
        <w:t>人员经费645.63万元，主要包括：基本工资、津贴补贴、奖金、伙食补助费、绩效工资</w:t>
      </w:r>
      <w:r>
        <w:rPr>
          <w:rFonts w:hint="eastAsia" w:ascii="仿宋" w:hAnsi="仿宋" w:eastAsia="仿宋"/>
          <w:color w:val="000000"/>
          <w:szCs w:val="32"/>
          <w:highlight w:val="none"/>
          <w:lang w:eastAsia="zh-CN"/>
        </w:rPr>
        <w:t>（</w:t>
      </w:r>
      <w:r>
        <w:rPr>
          <w:rFonts w:hint="eastAsia" w:ascii="仿宋" w:hAnsi="仿宋" w:eastAsia="仿宋"/>
          <w:color w:val="000000"/>
          <w:szCs w:val="32"/>
          <w:highlight w:val="none"/>
          <w:lang w:val="en-US" w:eastAsia="zh-CN"/>
        </w:rPr>
        <w:t>含派驻纪检监察组织人员绩效</w:t>
      </w:r>
      <w:r>
        <w:rPr>
          <w:rFonts w:hint="eastAsia" w:ascii="仿宋" w:hAnsi="仿宋" w:eastAsia="仿宋"/>
          <w:color w:val="000000"/>
          <w:szCs w:val="32"/>
          <w:highlight w:val="none"/>
          <w:lang w:eastAsia="zh-CN"/>
        </w:rPr>
        <w:t>）</w:t>
      </w:r>
      <w:r>
        <w:rPr>
          <w:rFonts w:hint="eastAsia" w:ascii="仿宋" w:hAnsi="仿宋" w:eastAsia="仿宋"/>
          <w:color w:val="000000"/>
          <w:szCs w:val="32"/>
          <w:highlight w:val="none"/>
        </w:rPr>
        <w:t>、机关事业单位基本养老保险缴费、职业年金缴费、其他社会保障缴费、其他工资福利支出、离休费、退休费、抚恤金、生活补助、医疗费补助、奖励金、住房公积金、其他对个人和家庭的补助支出等。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color w:val="000000"/>
          <w:szCs w:val="32"/>
          <w:highlight w:val="none"/>
        </w:rPr>
        <w:br w:type="textWrapping"/>
      </w:r>
      <w:r>
        <w:rPr>
          <w:rFonts w:hint="eastAsia" w:ascii="仿宋" w:hAnsi="仿宋" w:eastAsia="仿宋"/>
          <w:color w:val="000000"/>
          <w:szCs w:val="32"/>
          <w:highlight w:val="none"/>
        </w:rPr>
        <w:t>　　日常公用经费300.01万元，主要包括：办公费</w:t>
      </w:r>
      <w:r>
        <w:rPr>
          <w:rFonts w:hint="eastAsia" w:ascii="仿宋" w:hAnsi="仿宋" w:eastAsia="仿宋"/>
          <w:color w:val="000000"/>
          <w:szCs w:val="32"/>
          <w:highlight w:val="none"/>
          <w:lang w:eastAsia="zh-CN"/>
        </w:rPr>
        <w:t>（</w:t>
      </w:r>
      <w:r>
        <w:rPr>
          <w:rFonts w:hint="eastAsia" w:ascii="仿宋" w:hAnsi="仿宋" w:eastAsia="仿宋"/>
          <w:color w:val="000000"/>
          <w:szCs w:val="32"/>
          <w:highlight w:val="none"/>
          <w:lang w:val="en-US" w:eastAsia="zh-CN"/>
        </w:rPr>
        <w:t>含派驻纪检组人均定额费用</w:t>
      </w:r>
      <w:r>
        <w:rPr>
          <w:rFonts w:hint="eastAsia" w:ascii="仿宋" w:hAnsi="仿宋" w:eastAsia="仿宋"/>
          <w:color w:val="000000"/>
          <w:szCs w:val="32"/>
          <w:highlight w:val="none"/>
          <w:lang w:eastAsia="zh-CN"/>
        </w:rPr>
        <w:t>）</w:t>
      </w:r>
      <w:r>
        <w:rPr>
          <w:rFonts w:hint="eastAsia" w:ascii="仿宋" w:hAnsi="仿宋" w:eastAsia="仿宋"/>
          <w:color w:val="000000"/>
          <w:szCs w:val="32"/>
          <w:highlight w:val="none"/>
        </w:rPr>
        <w:t>、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1"/>
          <w:rFonts w:ascii="黑体" w:hAnsi="黑体" w:eastAsia="黑体"/>
          <w:b w:val="0"/>
          <w:highlight w:val="none"/>
        </w:rPr>
      </w:pPr>
      <w:bookmarkStart w:id="38" w:name="_Toc15377215"/>
      <w:bookmarkStart w:id="39" w:name="_Toc15396609"/>
      <w:bookmarkStart w:id="40" w:name="_Toc6926"/>
      <w:r>
        <w:rPr>
          <w:rFonts w:hint="eastAsia" w:ascii="黑体" w:eastAsia="黑体"/>
          <w:color w:val="000000"/>
          <w:szCs w:val="32"/>
          <w:highlight w:val="none"/>
        </w:rPr>
        <w:t>七、</w:t>
      </w:r>
      <w:r>
        <w:rPr>
          <w:rStyle w:val="21"/>
          <w:rFonts w:hint="eastAsia" w:ascii="黑体" w:hAnsi="黑体" w:eastAsia="黑体"/>
          <w:highlight w:val="none"/>
        </w:rPr>
        <w:t>“</w:t>
      </w:r>
      <w:r>
        <w:rPr>
          <w:rStyle w:val="21"/>
          <w:rFonts w:hint="eastAsia" w:ascii="黑体" w:hAnsi="黑体" w:eastAsia="黑体"/>
          <w:b w:val="0"/>
          <w:highlight w:val="none"/>
        </w:rPr>
        <w:t>三公”经费财政拨款支出决算情况说明</w:t>
      </w:r>
      <w:bookmarkEnd w:id="38"/>
      <w:bookmarkEnd w:id="39"/>
      <w:bookmarkEnd w:id="40"/>
    </w:p>
    <w:p>
      <w:pPr>
        <w:spacing w:line="600" w:lineRule="exact"/>
        <w:ind w:firstLine="640"/>
        <w:outlineLvl w:val="2"/>
        <w:rPr>
          <w:rFonts w:ascii="仿宋" w:hAnsi="仿宋" w:eastAsia="仿宋"/>
          <w:b/>
          <w:color w:val="000000"/>
          <w:szCs w:val="32"/>
          <w:highlight w:val="none"/>
        </w:rPr>
      </w:pPr>
      <w:bookmarkStart w:id="41" w:name="_Toc15377216"/>
      <w:r>
        <w:rPr>
          <w:rFonts w:hint="eastAsia" w:ascii="仿宋" w:hAnsi="仿宋" w:eastAsia="仿宋"/>
          <w:b/>
          <w:color w:val="000000"/>
          <w:szCs w:val="32"/>
          <w:highlight w:val="none"/>
        </w:rPr>
        <w:t>（一）“三公”经费财政拨款支出决算总体情况说明</w:t>
      </w:r>
      <w:bookmarkEnd w:id="41"/>
    </w:p>
    <w:p>
      <w:pPr>
        <w:spacing w:line="600" w:lineRule="exact"/>
        <w:ind w:firstLine="640"/>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“三公”经费财政拨款支出决算为</w:t>
      </w:r>
      <w:r>
        <w:rPr>
          <w:rFonts w:hint="eastAsia" w:ascii="仿宋" w:hAnsi="仿宋" w:eastAsia="仿宋"/>
          <w:color w:val="000000"/>
          <w:szCs w:val="32"/>
          <w:highlight w:val="none"/>
          <w:lang w:val="en-US" w:eastAsia="zh-CN"/>
        </w:rPr>
        <w:t>3.74</w:t>
      </w:r>
      <w:r>
        <w:rPr>
          <w:rFonts w:hint="eastAsia" w:ascii="仿宋" w:hAnsi="仿宋" w:eastAsia="仿宋"/>
          <w:color w:val="000000"/>
          <w:szCs w:val="32"/>
          <w:highlight w:val="none"/>
        </w:rPr>
        <w:t>万元，完成预算12.69</w:t>
      </w:r>
      <w:r>
        <w:rPr>
          <w:rFonts w:ascii="仿宋" w:hAnsi="仿宋" w:eastAsia="仿宋"/>
          <w:color w:val="000000"/>
          <w:szCs w:val="32"/>
          <w:highlight w:val="none"/>
        </w:rPr>
        <w:t>%</w:t>
      </w:r>
      <w:r>
        <w:rPr>
          <w:rFonts w:hint="eastAsia" w:ascii="仿宋" w:hAnsi="仿宋" w:eastAsia="仿宋"/>
          <w:color w:val="000000"/>
          <w:szCs w:val="32"/>
          <w:highlight w:val="none"/>
        </w:rPr>
        <w:t>，决算数小于预算数的主要原因是本年没有采购车辆，同时车辆管理优化，公车运行和维护费支出较少</w:t>
      </w:r>
      <w:r>
        <w:rPr>
          <w:rFonts w:hint="eastAsia" w:ascii="仿宋" w:hAnsi="仿宋" w:eastAsia="仿宋"/>
          <w:color w:val="000000"/>
          <w:szCs w:val="32"/>
          <w:highlight w:val="none"/>
          <w:lang w:eastAsia="zh-CN"/>
        </w:rPr>
        <w:t>。</w:t>
      </w:r>
      <w:r>
        <w:rPr>
          <w:rFonts w:hint="eastAsia" w:ascii="仿宋" w:hAnsi="仿宋" w:eastAsia="仿宋"/>
          <w:color w:val="000000"/>
          <w:szCs w:val="32"/>
          <w:highlight w:val="none"/>
          <w:lang w:val="en-US" w:eastAsia="zh-CN"/>
        </w:rPr>
        <w:t>预算数较大的原因是在2019年三辆公车受到不同程度损坏，维修费用较大，所以2020年在车辆维修上预算的费用较多，但是在2020年三辆车没有进行大型修理，所以决算数较小</w:t>
      </w:r>
      <w:r>
        <w:rPr>
          <w:rFonts w:hint="eastAsia" w:ascii="仿宋" w:hAnsi="仿宋" w:eastAsia="仿宋"/>
          <w:color w:val="000000"/>
          <w:szCs w:val="32"/>
          <w:highlight w:val="none"/>
        </w:rPr>
        <w:t>。</w:t>
      </w:r>
    </w:p>
    <w:p>
      <w:pPr>
        <w:spacing w:line="600" w:lineRule="exact"/>
        <w:ind w:firstLine="640"/>
        <w:outlineLvl w:val="2"/>
        <w:rPr>
          <w:rFonts w:ascii="仿宋" w:hAnsi="仿宋" w:eastAsia="仿宋"/>
          <w:b/>
          <w:color w:val="000000"/>
          <w:szCs w:val="32"/>
          <w:highlight w:val="none"/>
        </w:rPr>
      </w:pPr>
      <w:bookmarkStart w:id="42" w:name="_Toc15377217"/>
      <w:r>
        <w:rPr>
          <w:rFonts w:hint="eastAsia" w:ascii="仿宋" w:hAnsi="仿宋" w:eastAsia="仿宋"/>
          <w:b/>
          <w:color w:val="000000"/>
          <w:szCs w:val="32"/>
          <w:highlight w:val="none"/>
        </w:rPr>
        <w:t>（二）“三公”经费财政拨款支出决算具体情况说明</w:t>
      </w:r>
      <w:bookmarkEnd w:id="42"/>
    </w:p>
    <w:p>
      <w:pPr>
        <w:spacing w:line="600" w:lineRule="exact"/>
        <w:ind w:firstLine="640"/>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“三公”经费财政拨款支出决算中，因公出国（境）费支出决算0万元，占0</w:t>
      </w:r>
      <w:r>
        <w:rPr>
          <w:rFonts w:ascii="仿宋" w:hAnsi="仿宋" w:eastAsia="仿宋"/>
          <w:color w:val="000000"/>
          <w:szCs w:val="32"/>
          <w:highlight w:val="none"/>
        </w:rPr>
        <w:t>%</w:t>
      </w:r>
      <w:r>
        <w:rPr>
          <w:rFonts w:hint="eastAsia" w:ascii="仿宋" w:hAnsi="仿宋" w:eastAsia="仿宋"/>
          <w:color w:val="000000"/>
          <w:szCs w:val="32"/>
          <w:highlight w:val="none"/>
        </w:rPr>
        <w:t>；公务用车购置及运行维护费支出决算3.58万元，占95.72</w:t>
      </w:r>
      <w:r>
        <w:rPr>
          <w:rFonts w:ascii="仿宋" w:hAnsi="仿宋" w:eastAsia="仿宋"/>
          <w:color w:val="000000"/>
          <w:szCs w:val="32"/>
          <w:highlight w:val="none"/>
        </w:rPr>
        <w:t>%</w:t>
      </w:r>
      <w:r>
        <w:rPr>
          <w:rFonts w:hint="eastAsia" w:ascii="仿宋" w:hAnsi="仿宋" w:eastAsia="仿宋"/>
          <w:color w:val="000000"/>
          <w:szCs w:val="32"/>
          <w:highlight w:val="none"/>
        </w:rPr>
        <w:t>；公务接待费支出决算0.16万元，占4.28</w:t>
      </w:r>
      <w:r>
        <w:rPr>
          <w:rFonts w:ascii="仿宋" w:hAnsi="仿宋" w:eastAsia="仿宋"/>
          <w:color w:val="000000"/>
          <w:szCs w:val="32"/>
          <w:highlight w:val="none"/>
        </w:rPr>
        <w:t>%</w:t>
      </w:r>
      <w:r>
        <w:rPr>
          <w:rFonts w:hint="eastAsia" w:ascii="仿宋" w:hAnsi="仿宋" w:eastAsia="仿宋"/>
          <w:color w:val="000000"/>
          <w:szCs w:val="32"/>
          <w:highlight w:val="none"/>
        </w:rPr>
        <w:t>。具体情况如下：</w:t>
      </w:r>
    </w:p>
    <w:p>
      <w:pPr>
        <w:spacing w:line="600" w:lineRule="exact"/>
        <w:ind w:firstLine="640"/>
        <w:rPr>
          <w:rFonts w:ascii="仿宋" w:hAnsi="仿宋" w:eastAsia="仿宋"/>
          <w:color w:val="000000"/>
          <w:szCs w:val="32"/>
          <w:highlight w:val="none"/>
        </w:rPr>
      </w:pPr>
      <w:r>
        <w:rPr>
          <w:rFonts w:hint="eastAsia" w:ascii="仿宋" w:hAnsi="仿宋" w:eastAsia="仿宋"/>
          <w:color w:val="000000"/>
          <w:szCs w:val="32"/>
          <w:highlight w:val="none"/>
        </w:rPr>
        <w:t>（图</w:t>
      </w:r>
      <w:r>
        <w:rPr>
          <w:rFonts w:ascii="仿宋" w:hAnsi="仿宋" w:eastAsia="仿宋"/>
          <w:color w:val="000000"/>
          <w:szCs w:val="32"/>
          <w:highlight w:val="none"/>
        </w:rPr>
        <w:t>7</w:t>
      </w:r>
      <w:r>
        <w:rPr>
          <w:rFonts w:hint="eastAsia" w:ascii="仿宋" w:hAnsi="仿宋" w:eastAsia="仿宋"/>
          <w:color w:val="000000"/>
          <w:szCs w:val="32"/>
          <w:highlight w:val="none"/>
        </w:rPr>
        <w:t>：“三公”经费财政拨款支出结构）（饼状图）</w:t>
      </w:r>
    </w:p>
    <w:p>
      <w:pPr>
        <w:pStyle w:val="2"/>
        <w:ind w:left="0" w:leftChars="0"/>
        <w:jc w:val="center"/>
        <w:rPr>
          <w:highlight w:val="none"/>
        </w:rPr>
      </w:pPr>
      <w:r>
        <w:rPr>
          <w:highlight w:val="none"/>
        </w:rPr>
        <w:drawing>
          <wp:inline distT="0" distB="0" distL="114300" distR="114300">
            <wp:extent cx="4572000" cy="2743200"/>
            <wp:effectExtent l="4445" t="4445" r="14605" b="1460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spacing w:line="600" w:lineRule="exact"/>
        <w:ind w:firstLine="640"/>
        <w:rPr>
          <w:rFonts w:ascii="仿宋_GB2312"/>
          <w:color w:val="000000"/>
          <w:szCs w:val="32"/>
          <w:highlight w:val="none"/>
        </w:rPr>
      </w:pPr>
      <w:r>
        <w:rPr>
          <w:rFonts w:ascii="仿宋_GB2312"/>
          <w:b/>
          <w:color w:val="000000"/>
          <w:szCs w:val="32"/>
          <w:highlight w:val="none"/>
        </w:rPr>
        <w:t>1.</w:t>
      </w:r>
      <w:r>
        <w:rPr>
          <w:rFonts w:hint="eastAsia" w:ascii="仿宋_GB2312"/>
          <w:b/>
          <w:color w:val="000000"/>
          <w:szCs w:val="32"/>
          <w:highlight w:val="none"/>
        </w:rPr>
        <w:t>因公出国（境）经费支出</w:t>
      </w:r>
      <w:r>
        <w:rPr>
          <w:rFonts w:hint="eastAsia" w:ascii="仿宋_GB2312"/>
          <w:color w:val="000000"/>
          <w:szCs w:val="32"/>
          <w:highlight w:val="none"/>
        </w:rPr>
        <w:t>0万元，</w:t>
      </w:r>
      <w:r>
        <w:rPr>
          <w:rStyle w:val="18"/>
          <w:rFonts w:hint="eastAsia" w:ascii="仿宋" w:hAnsi="仿宋" w:eastAsia="仿宋"/>
          <w:b w:val="0"/>
          <w:bCs/>
          <w:color w:val="000000"/>
          <w:szCs w:val="32"/>
          <w:highlight w:val="none"/>
        </w:rPr>
        <w:t>完成预算0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r>
        <w:rPr>
          <w:rFonts w:hint="eastAsia" w:ascii="仿宋_GB2312"/>
          <w:color w:val="000000"/>
          <w:szCs w:val="32"/>
          <w:highlight w:val="none"/>
        </w:rPr>
        <w:t>全年安排因公出国（境）团组0次，出国（境）0人。因公出国（境）支出决算比</w:t>
      </w:r>
      <w:r>
        <w:rPr>
          <w:rFonts w:ascii="仿宋_GB2312"/>
          <w:color w:val="000000"/>
          <w:szCs w:val="32"/>
          <w:highlight w:val="none"/>
        </w:rPr>
        <w:t>201</w:t>
      </w:r>
      <w:r>
        <w:rPr>
          <w:rFonts w:hint="eastAsia" w:ascii="仿宋_GB2312"/>
          <w:color w:val="000000"/>
          <w:szCs w:val="32"/>
          <w:highlight w:val="none"/>
        </w:rPr>
        <w:t>9年无变化。</w:t>
      </w:r>
    </w:p>
    <w:p>
      <w:pPr>
        <w:spacing w:line="600" w:lineRule="exact"/>
        <w:ind w:firstLine="640"/>
        <w:rPr>
          <w:rFonts w:ascii="仿宋_GB2312"/>
          <w:color w:val="000000"/>
          <w:szCs w:val="32"/>
          <w:highlight w:val="none"/>
        </w:rPr>
      </w:pPr>
      <w:r>
        <w:rPr>
          <w:rFonts w:hint="eastAsia" w:ascii="仿宋_GB2312"/>
          <w:color w:val="000000"/>
          <w:szCs w:val="32"/>
          <w:highlight w:val="none"/>
        </w:rPr>
        <w:t>开支内容包括：无。</w:t>
      </w:r>
    </w:p>
    <w:p>
      <w:pPr>
        <w:spacing w:line="600" w:lineRule="exact"/>
        <w:ind w:firstLine="640"/>
        <w:rPr>
          <w:rFonts w:ascii="仿宋_GB2312"/>
          <w:b/>
          <w:color w:val="000000"/>
          <w:szCs w:val="32"/>
          <w:highlight w:val="none"/>
        </w:rPr>
      </w:pPr>
      <w:r>
        <w:rPr>
          <w:rFonts w:ascii="仿宋_GB2312"/>
          <w:b/>
          <w:color w:val="000000"/>
          <w:szCs w:val="32"/>
          <w:highlight w:val="none"/>
        </w:rPr>
        <w:t>2.</w:t>
      </w:r>
      <w:r>
        <w:rPr>
          <w:rFonts w:hint="eastAsia" w:ascii="仿宋_GB2312"/>
          <w:b/>
          <w:color w:val="000000"/>
          <w:szCs w:val="32"/>
          <w:highlight w:val="none"/>
        </w:rPr>
        <w:t>公务用车购置及运行维护费支出</w:t>
      </w:r>
      <w:r>
        <w:rPr>
          <w:rFonts w:hint="eastAsia" w:ascii="仿宋_GB2312"/>
          <w:color w:val="000000"/>
          <w:szCs w:val="32"/>
          <w:highlight w:val="none"/>
        </w:rPr>
        <w:t>3.58万元</w:t>
      </w:r>
      <w:r>
        <w:rPr>
          <w:rFonts w:ascii="仿宋_GB2312"/>
          <w:color w:val="000000"/>
          <w:szCs w:val="32"/>
          <w:highlight w:val="none"/>
        </w:rPr>
        <w:t>,</w:t>
      </w:r>
      <w:r>
        <w:rPr>
          <w:rStyle w:val="18"/>
          <w:rFonts w:hint="eastAsia" w:ascii="仿宋" w:hAnsi="仿宋" w:eastAsia="仿宋"/>
          <w:b w:val="0"/>
          <w:bCs/>
          <w:color w:val="000000"/>
          <w:szCs w:val="32"/>
          <w:highlight w:val="none"/>
        </w:rPr>
        <w:t>完成预算12.99</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r>
        <w:rPr>
          <w:rFonts w:hint="eastAsia" w:ascii="仿宋_GB2312"/>
          <w:color w:val="000000"/>
          <w:szCs w:val="32"/>
          <w:highlight w:val="none"/>
        </w:rPr>
        <w:t>公务用车购置及运行维护费支出决算比2019年减少31.2万元，下降89.7</w:t>
      </w:r>
      <w:r>
        <w:rPr>
          <w:rFonts w:ascii="仿宋_GB2312"/>
          <w:color w:val="000000"/>
          <w:szCs w:val="32"/>
          <w:highlight w:val="none"/>
        </w:rPr>
        <w:t>%</w:t>
      </w:r>
      <w:r>
        <w:rPr>
          <w:rFonts w:hint="eastAsia" w:ascii="仿宋_GB2312"/>
          <w:color w:val="000000"/>
          <w:szCs w:val="32"/>
          <w:highlight w:val="none"/>
        </w:rPr>
        <w:t>。主要原因是2019年购置了执法执勤用车一辆，开支较大。</w:t>
      </w:r>
    </w:p>
    <w:p>
      <w:pPr>
        <w:spacing w:line="600" w:lineRule="exact"/>
        <w:ind w:firstLine="640" w:firstLineChars="200"/>
        <w:rPr>
          <w:rFonts w:ascii="仿宋_GB2312"/>
          <w:b/>
          <w:color w:val="000000"/>
          <w:szCs w:val="32"/>
          <w:highlight w:val="none"/>
        </w:rPr>
      </w:pPr>
      <w:r>
        <w:rPr>
          <w:rFonts w:hint="eastAsia" w:ascii="仿宋_GB2312"/>
          <w:color w:val="000000"/>
          <w:szCs w:val="32"/>
          <w:highlight w:val="none"/>
        </w:rPr>
        <w:t>其中：</w:t>
      </w:r>
      <w:r>
        <w:rPr>
          <w:rFonts w:hint="eastAsia" w:ascii="仿宋_GB2312"/>
          <w:b/>
          <w:color w:val="000000"/>
          <w:szCs w:val="32"/>
          <w:highlight w:val="none"/>
        </w:rPr>
        <w:t>公务用车购置支出</w:t>
      </w:r>
      <w:r>
        <w:rPr>
          <w:rFonts w:hint="eastAsia" w:ascii="仿宋_GB2312"/>
          <w:color w:val="000000"/>
          <w:szCs w:val="32"/>
          <w:highlight w:val="none"/>
        </w:rPr>
        <w:t>0万元。全年按规定更新购置公务用车0辆，其中：轿车0辆、金额0万元，越野车0辆、金额0万元，载客汽车0辆、金额0万元。截至</w:t>
      </w:r>
      <w:r>
        <w:rPr>
          <w:rFonts w:ascii="仿宋_GB2312"/>
          <w:color w:val="000000"/>
          <w:szCs w:val="32"/>
          <w:highlight w:val="none"/>
        </w:rPr>
        <w:t>2020</w:t>
      </w:r>
      <w:r>
        <w:rPr>
          <w:rFonts w:hint="eastAsia" w:ascii="仿宋_GB2312"/>
          <w:color w:val="000000"/>
          <w:szCs w:val="32"/>
          <w:highlight w:val="none"/>
        </w:rPr>
        <w:t>年</w:t>
      </w:r>
      <w:r>
        <w:rPr>
          <w:rFonts w:ascii="仿宋_GB2312"/>
          <w:color w:val="000000"/>
          <w:szCs w:val="32"/>
          <w:highlight w:val="none"/>
        </w:rPr>
        <w:t>12</w:t>
      </w:r>
      <w:r>
        <w:rPr>
          <w:rFonts w:hint="eastAsia" w:ascii="仿宋_GB2312"/>
          <w:color w:val="000000"/>
          <w:szCs w:val="32"/>
          <w:highlight w:val="none"/>
        </w:rPr>
        <w:t>月底，单位共有公务用车（执法执勤用车）3辆，其中：轿车1辆、越野车2辆、载客汽车0辆。</w:t>
      </w:r>
    </w:p>
    <w:p>
      <w:pPr>
        <w:spacing w:line="600" w:lineRule="exact"/>
        <w:ind w:firstLine="640"/>
        <w:rPr>
          <w:rFonts w:ascii="仿宋_GB2312"/>
          <w:color w:val="000000"/>
          <w:szCs w:val="32"/>
          <w:highlight w:val="none"/>
        </w:rPr>
      </w:pPr>
      <w:r>
        <w:rPr>
          <w:rFonts w:hint="eastAsia" w:ascii="仿宋_GB2312"/>
          <w:b/>
          <w:color w:val="000000"/>
          <w:szCs w:val="32"/>
          <w:highlight w:val="none"/>
        </w:rPr>
        <w:t>公务用车运行维护费支出</w:t>
      </w:r>
      <w:r>
        <w:rPr>
          <w:rFonts w:hint="eastAsia" w:ascii="仿宋_GB2312"/>
          <w:color w:val="000000"/>
          <w:szCs w:val="32"/>
          <w:highlight w:val="none"/>
        </w:rPr>
        <w:t>3.58万元。主要用于执纪监督、执纪审查等所需的公务用车燃料费、维修费、过路过桥费、保险费等支出。</w:t>
      </w:r>
    </w:p>
    <w:p>
      <w:pPr>
        <w:spacing w:line="600" w:lineRule="exact"/>
        <w:ind w:firstLine="640"/>
        <w:rPr>
          <w:rFonts w:ascii="仿宋_GB2312"/>
          <w:color w:val="000000"/>
          <w:szCs w:val="32"/>
          <w:highlight w:val="none"/>
        </w:rPr>
      </w:pPr>
      <w:r>
        <w:rPr>
          <w:rFonts w:ascii="仿宋_GB2312"/>
          <w:b/>
          <w:color w:val="000000"/>
          <w:szCs w:val="32"/>
          <w:highlight w:val="none"/>
        </w:rPr>
        <w:t>3.</w:t>
      </w:r>
      <w:r>
        <w:rPr>
          <w:rFonts w:hint="eastAsia" w:ascii="仿宋_GB2312"/>
          <w:b/>
          <w:color w:val="000000"/>
          <w:szCs w:val="32"/>
          <w:highlight w:val="none"/>
        </w:rPr>
        <w:t>公务接待费支出</w:t>
      </w:r>
      <w:r>
        <w:rPr>
          <w:rFonts w:hint="eastAsia" w:ascii="仿宋_GB2312"/>
          <w:color w:val="000000"/>
          <w:szCs w:val="32"/>
          <w:highlight w:val="none"/>
        </w:rPr>
        <w:t>0.16万元，</w:t>
      </w:r>
      <w:r>
        <w:rPr>
          <w:rStyle w:val="18"/>
          <w:rFonts w:hint="eastAsia" w:ascii="仿宋" w:hAnsi="仿宋" w:eastAsia="仿宋"/>
          <w:b w:val="0"/>
          <w:bCs/>
          <w:color w:val="000000"/>
          <w:szCs w:val="32"/>
          <w:highlight w:val="none"/>
        </w:rPr>
        <w:t>完成预算16</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r>
        <w:rPr>
          <w:rFonts w:hint="eastAsia" w:ascii="仿宋_GB2312"/>
          <w:color w:val="000000"/>
          <w:szCs w:val="32"/>
          <w:highlight w:val="none"/>
        </w:rPr>
        <w:t>公务接待费支出决算比</w:t>
      </w:r>
      <w:r>
        <w:rPr>
          <w:rFonts w:ascii="仿宋_GB2312"/>
          <w:color w:val="000000"/>
          <w:szCs w:val="32"/>
          <w:highlight w:val="none"/>
        </w:rPr>
        <w:t>2019</w:t>
      </w:r>
      <w:r>
        <w:rPr>
          <w:rFonts w:hint="eastAsia" w:ascii="仿宋_GB2312"/>
          <w:color w:val="000000"/>
          <w:szCs w:val="32"/>
          <w:highlight w:val="none"/>
        </w:rPr>
        <w:t>年减少0.84万元，下降84</w:t>
      </w:r>
      <w:r>
        <w:rPr>
          <w:rFonts w:ascii="仿宋_GB2312"/>
          <w:color w:val="000000"/>
          <w:szCs w:val="32"/>
          <w:highlight w:val="none"/>
        </w:rPr>
        <w:t>%</w:t>
      </w:r>
      <w:r>
        <w:rPr>
          <w:rFonts w:hint="eastAsia" w:ascii="仿宋_GB2312"/>
          <w:color w:val="000000"/>
          <w:szCs w:val="32"/>
          <w:highlight w:val="none"/>
        </w:rPr>
        <w:t>。主要原因是2020年实际发生两次公务接待。其中：</w:t>
      </w:r>
    </w:p>
    <w:p>
      <w:pPr>
        <w:spacing w:line="600" w:lineRule="exact"/>
        <w:ind w:firstLine="640"/>
        <w:rPr>
          <w:rFonts w:ascii="仿宋_GB2312"/>
          <w:color w:val="000000"/>
          <w:szCs w:val="32"/>
          <w:highlight w:val="none"/>
        </w:rPr>
      </w:pPr>
      <w:r>
        <w:rPr>
          <w:rFonts w:hint="eastAsia" w:ascii="仿宋" w:hAnsi="仿宋" w:eastAsia="仿宋"/>
          <w:b/>
          <w:color w:val="000000"/>
          <w:szCs w:val="32"/>
          <w:highlight w:val="none"/>
        </w:rPr>
        <w:t>国内公务接待支出</w:t>
      </w:r>
      <w:r>
        <w:rPr>
          <w:rFonts w:hint="eastAsia" w:ascii="仿宋" w:hAnsi="仿宋" w:eastAsia="仿宋"/>
          <w:color w:val="000000"/>
          <w:szCs w:val="32"/>
          <w:highlight w:val="none"/>
        </w:rPr>
        <w:t>0.16</w:t>
      </w:r>
      <w:r>
        <w:rPr>
          <w:rFonts w:hint="eastAsia" w:ascii="仿宋_GB2312"/>
          <w:color w:val="000000"/>
          <w:szCs w:val="32"/>
          <w:highlight w:val="none"/>
        </w:rPr>
        <w:t>万元，主要用于接待其他单位人员活动产生的用餐费等</w:t>
      </w:r>
      <w:r>
        <w:rPr>
          <w:rFonts w:ascii="仿宋_GB2312"/>
          <w:color w:val="000000"/>
          <w:szCs w:val="32"/>
          <w:highlight w:val="none"/>
        </w:rPr>
        <w:t>)</w:t>
      </w:r>
      <w:r>
        <w:rPr>
          <w:rFonts w:hint="eastAsia" w:ascii="仿宋_GB2312"/>
          <w:color w:val="000000"/>
          <w:szCs w:val="32"/>
          <w:highlight w:val="none"/>
        </w:rPr>
        <w:t>。国内公务接待2批次，10人次（不包括陪同人员），共计支出0.16万元，具体内容包括：接待其他市州纪委同志。</w:t>
      </w:r>
    </w:p>
    <w:p>
      <w:pPr>
        <w:spacing w:line="600" w:lineRule="exact"/>
        <w:ind w:firstLine="643" w:firstLineChars="200"/>
        <w:rPr>
          <w:rFonts w:ascii="黑体" w:eastAsia="黑体"/>
          <w:color w:val="000000"/>
          <w:szCs w:val="32"/>
          <w:highlight w:val="none"/>
        </w:rPr>
      </w:pPr>
      <w:r>
        <w:rPr>
          <w:rFonts w:hint="eastAsia" w:ascii="仿宋" w:hAnsi="仿宋" w:eastAsia="仿宋"/>
          <w:b/>
          <w:color w:val="000000"/>
          <w:szCs w:val="32"/>
          <w:highlight w:val="none"/>
        </w:rPr>
        <w:t>外事接待支出</w:t>
      </w:r>
      <w:r>
        <w:rPr>
          <w:rFonts w:hint="eastAsia" w:ascii="仿宋" w:hAnsi="仿宋" w:eastAsia="仿宋"/>
          <w:color w:val="000000"/>
          <w:szCs w:val="32"/>
          <w:highlight w:val="none"/>
        </w:rPr>
        <w:t>0</w:t>
      </w:r>
      <w:r>
        <w:rPr>
          <w:rFonts w:hint="eastAsia" w:ascii="仿宋_GB2312"/>
          <w:color w:val="000000"/>
          <w:szCs w:val="32"/>
          <w:highlight w:val="none"/>
        </w:rPr>
        <w:t>万元，外事接待0批次，0人，共计支出0万元。</w:t>
      </w:r>
      <w:bookmarkStart w:id="43" w:name="_Toc15396610"/>
      <w:bookmarkStart w:id="44" w:name="_Toc15377218"/>
    </w:p>
    <w:p>
      <w:pPr>
        <w:spacing w:line="600" w:lineRule="exact"/>
        <w:ind w:firstLine="640"/>
        <w:outlineLvl w:val="1"/>
        <w:rPr>
          <w:rStyle w:val="21"/>
          <w:rFonts w:ascii="黑体" w:hAnsi="黑体" w:eastAsia="黑体"/>
          <w:highlight w:val="none"/>
        </w:rPr>
      </w:pPr>
      <w:bookmarkStart w:id="45" w:name="_Toc9843"/>
      <w:r>
        <w:rPr>
          <w:rFonts w:hint="eastAsia" w:ascii="黑体" w:eastAsia="黑体"/>
          <w:color w:val="000000"/>
          <w:szCs w:val="32"/>
          <w:highlight w:val="none"/>
        </w:rPr>
        <w:t>八、</w:t>
      </w:r>
      <w:r>
        <w:rPr>
          <w:rStyle w:val="21"/>
          <w:rFonts w:hint="eastAsia" w:ascii="黑体" w:hAnsi="黑体" w:eastAsia="黑体"/>
          <w:b w:val="0"/>
          <w:highlight w:val="none"/>
        </w:rPr>
        <w:t>政府性基金预算支出决算情况说明</w:t>
      </w:r>
      <w:bookmarkEnd w:id="43"/>
      <w:bookmarkEnd w:id="44"/>
      <w:bookmarkEnd w:id="45"/>
    </w:p>
    <w:p>
      <w:pPr>
        <w:spacing w:line="600" w:lineRule="exact"/>
        <w:ind w:firstLine="640"/>
        <w:rPr>
          <w:rFonts w:ascii="仿宋_GB2312"/>
          <w:color w:val="000000"/>
          <w:szCs w:val="32"/>
          <w:highlight w:val="none"/>
        </w:rPr>
      </w:pPr>
      <w:r>
        <w:rPr>
          <w:rFonts w:ascii="仿宋_GB2312"/>
          <w:color w:val="000000"/>
          <w:szCs w:val="32"/>
          <w:highlight w:val="none"/>
        </w:rPr>
        <w:t>2020</w:t>
      </w:r>
      <w:r>
        <w:rPr>
          <w:rFonts w:hint="eastAsia" w:ascii="仿宋_GB2312"/>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_GB2312"/>
          <w:color w:val="000000"/>
          <w:szCs w:val="32"/>
          <w:highlight w:val="none"/>
        </w:rPr>
        <w:t>政府性基金预算拨款支出0万元。</w:t>
      </w:r>
    </w:p>
    <w:p>
      <w:pPr>
        <w:numPr>
          <w:ilvl w:val="0"/>
          <w:numId w:val="3"/>
        </w:numPr>
        <w:spacing w:line="600" w:lineRule="exact"/>
        <w:ind w:firstLine="640"/>
        <w:outlineLvl w:val="1"/>
        <w:rPr>
          <w:rStyle w:val="21"/>
          <w:rFonts w:ascii="黑体" w:hAnsi="黑体" w:eastAsia="黑体"/>
          <w:b w:val="0"/>
          <w:highlight w:val="none"/>
        </w:rPr>
      </w:pPr>
      <w:bookmarkStart w:id="46" w:name="_Toc10775"/>
      <w:bookmarkStart w:id="47" w:name="_Toc15377219"/>
      <w:bookmarkStart w:id="48" w:name="_Toc15396611"/>
      <w:r>
        <w:rPr>
          <w:rStyle w:val="21"/>
          <w:rFonts w:hint="eastAsia" w:ascii="黑体" w:hAnsi="黑体" w:eastAsia="黑体"/>
          <w:b w:val="0"/>
          <w:highlight w:val="none"/>
        </w:rPr>
        <w:t>国有资本经营预算支出决算情况说明</w:t>
      </w:r>
      <w:bookmarkEnd w:id="46"/>
      <w:bookmarkEnd w:id="47"/>
      <w:bookmarkEnd w:id="48"/>
    </w:p>
    <w:p>
      <w:pPr>
        <w:spacing w:line="600" w:lineRule="exact"/>
        <w:ind w:firstLine="640"/>
        <w:rPr>
          <w:rFonts w:ascii="方正小标宋简体" w:hAnsi="方正小标宋简体" w:eastAsia="方正小标宋简体" w:cs="方正小标宋简体"/>
          <w:sz w:val="44"/>
          <w:szCs w:val="44"/>
          <w:highlight w:val="none"/>
        </w:rPr>
      </w:pPr>
      <w:r>
        <w:rPr>
          <w:rFonts w:ascii="仿宋_GB2312"/>
          <w:color w:val="000000"/>
          <w:szCs w:val="32"/>
          <w:highlight w:val="none"/>
        </w:rPr>
        <w:t>2020</w:t>
      </w:r>
      <w:r>
        <w:rPr>
          <w:rFonts w:hint="eastAsia" w:ascii="仿宋_GB2312"/>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_GB2312"/>
          <w:color w:val="000000"/>
          <w:szCs w:val="32"/>
          <w:highlight w:val="none"/>
        </w:rPr>
        <w:t>国有资本经营预算拨款支出0万元。</w:t>
      </w:r>
    </w:p>
    <w:p>
      <w:pPr>
        <w:spacing w:line="600" w:lineRule="exact"/>
        <w:ind w:firstLine="800" w:firstLineChars="250"/>
        <w:outlineLvl w:val="1"/>
        <w:rPr>
          <w:rStyle w:val="21"/>
          <w:rFonts w:ascii="黑体" w:hAnsi="黑体" w:eastAsia="黑体"/>
          <w:highlight w:val="none"/>
        </w:rPr>
      </w:pPr>
      <w:bookmarkStart w:id="49" w:name="_Toc15377221"/>
      <w:bookmarkStart w:id="50" w:name="_Toc15396612"/>
      <w:bookmarkStart w:id="51" w:name="_Toc738"/>
      <w:r>
        <w:rPr>
          <w:rFonts w:hint="eastAsia" w:ascii="黑体" w:hAnsi="黑体" w:eastAsia="黑体"/>
          <w:color w:val="000000"/>
          <w:szCs w:val="32"/>
          <w:highlight w:val="none"/>
        </w:rPr>
        <w:t>十</w:t>
      </w:r>
      <w:r>
        <w:rPr>
          <w:rStyle w:val="21"/>
          <w:rFonts w:hint="eastAsia" w:ascii="黑体" w:hAnsi="黑体" w:eastAsia="黑体"/>
          <w:highlight w:val="none"/>
        </w:rPr>
        <w:t>、</w:t>
      </w:r>
      <w:r>
        <w:rPr>
          <w:rStyle w:val="21"/>
          <w:rFonts w:hint="eastAsia" w:ascii="黑体" w:hAnsi="黑体" w:eastAsia="黑体"/>
          <w:b w:val="0"/>
          <w:highlight w:val="none"/>
        </w:rPr>
        <w:t>其他重要事项的情况说明</w:t>
      </w:r>
      <w:bookmarkEnd w:id="49"/>
      <w:bookmarkEnd w:id="50"/>
      <w:bookmarkEnd w:id="51"/>
    </w:p>
    <w:p>
      <w:pPr>
        <w:spacing w:line="600" w:lineRule="exact"/>
        <w:ind w:firstLine="643" w:firstLineChars="200"/>
        <w:outlineLvl w:val="2"/>
        <w:rPr>
          <w:rFonts w:ascii="仿宋" w:hAnsi="仿宋" w:eastAsia="仿宋"/>
          <w:color w:val="000000"/>
          <w:szCs w:val="32"/>
          <w:highlight w:val="none"/>
        </w:rPr>
      </w:pPr>
      <w:bookmarkStart w:id="52" w:name="_Toc15377222"/>
      <w:r>
        <w:rPr>
          <w:rFonts w:hint="eastAsia" w:ascii="仿宋" w:hAnsi="仿宋" w:eastAsia="仿宋"/>
          <w:b/>
          <w:color w:val="000000"/>
          <w:szCs w:val="32"/>
          <w:highlight w:val="none"/>
        </w:rPr>
        <w:t>（一）机关运行经费支出情况</w:t>
      </w:r>
      <w:bookmarkEnd w:id="52"/>
    </w:p>
    <w:p>
      <w:pPr>
        <w:spacing w:line="600" w:lineRule="exact"/>
        <w:ind w:firstLine="640" w:firstLineChars="200"/>
        <w:rPr>
          <w:rFonts w:ascii="仿宋_GB2312"/>
          <w:color w:val="000000"/>
          <w:szCs w:val="32"/>
          <w:highlight w:val="none"/>
        </w:rPr>
      </w:pPr>
      <w:r>
        <w:rPr>
          <w:rFonts w:ascii="仿宋_GB2312"/>
          <w:color w:val="000000"/>
          <w:szCs w:val="32"/>
          <w:highlight w:val="none"/>
        </w:rPr>
        <w:t>2020</w:t>
      </w:r>
      <w:r>
        <w:rPr>
          <w:rFonts w:hint="eastAsia" w:ascii="仿宋_GB2312"/>
          <w:color w:val="000000"/>
          <w:szCs w:val="32"/>
          <w:highlight w:val="none"/>
        </w:rPr>
        <w:t>年，本部门机关运行经费支出167.69万元，比</w:t>
      </w:r>
      <w:r>
        <w:rPr>
          <w:rFonts w:ascii="仿宋_GB2312"/>
          <w:color w:val="000000"/>
          <w:szCs w:val="32"/>
          <w:highlight w:val="none"/>
        </w:rPr>
        <w:t>2019</w:t>
      </w:r>
      <w:r>
        <w:rPr>
          <w:rFonts w:hint="eastAsia" w:ascii="仿宋_GB2312"/>
          <w:color w:val="000000"/>
          <w:szCs w:val="32"/>
          <w:highlight w:val="none"/>
        </w:rPr>
        <w:t>年增加59.26万元，增长54.65</w:t>
      </w:r>
      <w:r>
        <w:rPr>
          <w:rFonts w:ascii="仿宋_GB2312"/>
          <w:color w:val="000000"/>
          <w:szCs w:val="32"/>
          <w:highlight w:val="none"/>
        </w:rPr>
        <w:t>%</w:t>
      </w:r>
      <w:r>
        <w:rPr>
          <w:rFonts w:hint="eastAsia" w:ascii="仿宋_GB2312"/>
          <w:color w:val="000000"/>
          <w:szCs w:val="32"/>
          <w:highlight w:val="none"/>
        </w:rPr>
        <w:t>。主要原因是人员增加，运行成本增加。</w:t>
      </w:r>
    </w:p>
    <w:p>
      <w:pPr>
        <w:autoSpaceDE w:val="0"/>
        <w:autoSpaceDN w:val="0"/>
        <w:adjustRightInd w:val="0"/>
        <w:spacing w:line="600" w:lineRule="exact"/>
        <w:ind w:firstLine="643" w:firstLineChars="200"/>
        <w:jc w:val="left"/>
        <w:outlineLvl w:val="2"/>
        <w:rPr>
          <w:rFonts w:ascii="仿宋" w:hAnsi="仿宋" w:eastAsia="仿宋"/>
          <w:b/>
          <w:color w:val="000000"/>
          <w:szCs w:val="32"/>
          <w:highlight w:val="none"/>
        </w:rPr>
      </w:pPr>
      <w:bookmarkStart w:id="53" w:name="_Toc15377223"/>
      <w:r>
        <w:rPr>
          <w:rFonts w:hint="eastAsia" w:ascii="仿宋" w:hAnsi="仿宋" w:eastAsia="仿宋"/>
          <w:b/>
          <w:color w:val="000000"/>
          <w:szCs w:val="32"/>
          <w:highlight w:val="none"/>
        </w:rPr>
        <w:t>（二）政府采购支出情况</w:t>
      </w:r>
      <w:bookmarkEnd w:id="53"/>
    </w:p>
    <w:p>
      <w:pPr>
        <w:spacing w:line="600" w:lineRule="exact"/>
        <w:ind w:firstLine="640" w:firstLineChars="200"/>
        <w:rPr>
          <w:rFonts w:ascii="仿宋_GB2312"/>
          <w:color w:val="000000"/>
          <w:szCs w:val="32"/>
          <w:highlight w:val="none"/>
        </w:rPr>
      </w:pPr>
      <w:r>
        <w:rPr>
          <w:rFonts w:ascii="仿宋_GB2312"/>
          <w:color w:val="000000"/>
          <w:szCs w:val="32"/>
          <w:highlight w:val="none"/>
        </w:rPr>
        <w:t>2020</w:t>
      </w:r>
      <w:r>
        <w:rPr>
          <w:rFonts w:hint="eastAsia" w:ascii="仿宋_GB2312"/>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_GB2312"/>
          <w:color w:val="000000"/>
          <w:szCs w:val="32"/>
          <w:highlight w:val="none"/>
        </w:rPr>
        <w:t>政府采购支出总额7.92万元，其中：政府采购货物支出7.92万元、政府采购工程支出0万元、政府采购服务支出0万元。主要用于监察体制改革的办公设备采购。授予中小企业合同金额7.92万元，占政府采购支出总额的100</w:t>
      </w:r>
      <w:r>
        <w:rPr>
          <w:rFonts w:ascii="仿宋_GB2312"/>
          <w:color w:val="000000"/>
          <w:szCs w:val="32"/>
          <w:highlight w:val="none"/>
        </w:rPr>
        <w:t>%</w:t>
      </w:r>
      <w:r>
        <w:rPr>
          <w:rFonts w:hint="eastAsia" w:ascii="仿宋_GB2312"/>
          <w:color w:val="000000"/>
          <w:szCs w:val="32"/>
          <w:highlight w:val="none"/>
        </w:rPr>
        <w:t>，其中：授予小微企业合同金额7.92万元，占政府采购支出总额的100</w:t>
      </w:r>
      <w:r>
        <w:rPr>
          <w:rFonts w:ascii="仿宋_GB2312"/>
          <w:color w:val="000000"/>
          <w:szCs w:val="32"/>
          <w:highlight w:val="none"/>
        </w:rPr>
        <w:t>%</w:t>
      </w:r>
      <w:r>
        <w:rPr>
          <w:rFonts w:hint="eastAsia" w:ascii="仿宋_GB2312"/>
          <w:color w:val="000000"/>
          <w:szCs w:val="32"/>
          <w:highlight w:val="none"/>
        </w:rPr>
        <w:t>。</w:t>
      </w:r>
    </w:p>
    <w:p>
      <w:pPr>
        <w:autoSpaceDE w:val="0"/>
        <w:autoSpaceDN w:val="0"/>
        <w:adjustRightInd w:val="0"/>
        <w:spacing w:line="600" w:lineRule="exact"/>
        <w:ind w:firstLine="643" w:firstLineChars="200"/>
        <w:jc w:val="left"/>
        <w:outlineLvl w:val="2"/>
        <w:rPr>
          <w:rFonts w:ascii="仿宋" w:hAnsi="仿宋" w:eastAsia="仿宋"/>
          <w:b/>
          <w:color w:val="000000"/>
          <w:szCs w:val="32"/>
          <w:highlight w:val="none"/>
        </w:rPr>
      </w:pPr>
      <w:bookmarkStart w:id="54" w:name="_Toc15377224"/>
      <w:r>
        <w:rPr>
          <w:rFonts w:hint="eastAsia" w:ascii="仿宋" w:hAnsi="仿宋" w:eastAsia="仿宋"/>
          <w:b/>
          <w:color w:val="000000"/>
          <w:szCs w:val="32"/>
          <w:highlight w:val="none"/>
        </w:rPr>
        <w:t>（三）国有资产占有使用情况</w:t>
      </w:r>
      <w:bookmarkEnd w:id="54"/>
    </w:p>
    <w:p>
      <w:pPr>
        <w:autoSpaceDE w:val="0"/>
        <w:autoSpaceDN w:val="0"/>
        <w:adjustRightInd w:val="0"/>
        <w:spacing w:line="600" w:lineRule="exact"/>
        <w:ind w:firstLine="640" w:firstLineChars="200"/>
        <w:jc w:val="left"/>
        <w:rPr>
          <w:rFonts w:ascii="仿宋" w:hAnsi="仿宋" w:eastAsia="仿宋"/>
          <w:b/>
          <w:color w:val="FF0000"/>
          <w:szCs w:val="32"/>
          <w:highlight w:val="none"/>
        </w:rPr>
      </w:pPr>
      <w:r>
        <w:rPr>
          <w:rFonts w:hint="eastAsia" w:ascii="仿宋_GB2312"/>
          <w:color w:val="000000"/>
          <w:szCs w:val="32"/>
          <w:highlight w:val="none"/>
        </w:rPr>
        <w:t>截至</w:t>
      </w:r>
      <w:r>
        <w:rPr>
          <w:rFonts w:ascii="仿宋_GB2312"/>
          <w:color w:val="000000"/>
          <w:szCs w:val="32"/>
          <w:highlight w:val="none"/>
        </w:rPr>
        <w:t>2020</w:t>
      </w:r>
      <w:r>
        <w:rPr>
          <w:rFonts w:hint="eastAsia" w:ascii="仿宋_GB2312"/>
          <w:color w:val="000000"/>
          <w:szCs w:val="32"/>
          <w:highlight w:val="none"/>
        </w:rPr>
        <w:t>年</w:t>
      </w:r>
      <w:r>
        <w:rPr>
          <w:rFonts w:ascii="仿宋_GB2312"/>
          <w:color w:val="000000"/>
          <w:szCs w:val="32"/>
          <w:highlight w:val="none"/>
        </w:rPr>
        <w:t>12</w:t>
      </w:r>
      <w:r>
        <w:rPr>
          <w:rFonts w:hint="eastAsia" w:ascii="仿宋_GB2312"/>
          <w:color w:val="000000"/>
          <w:szCs w:val="32"/>
          <w:highlight w:val="none"/>
        </w:rPr>
        <w:t>月</w:t>
      </w:r>
      <w:r>
        <w:rPr>
          <w:rFonts w:ascii="仿宋_GB2312"/>
          <w:color w:val="000000"/>
          <w:szCs w:val="32"/>
          <w:highlight w:val="none"/>
        </w:rPr>
        <w:t>31</w:t>
      </w:r>
      <w:r>
        <w:rPr>
          <w:rFonts w:hint="eastAsia" w:ascii="仿宋_GB2312"/>
          <w:color w:val="000000"/>
          <w:szCs w:val="32"/>
          <w:highlight w:val="none"/>
        </w:rPr>
        <w:t>日，</w:t>
      </w:r>
      <w:r>
        <w:rPr>
          <w:rFonts w:hint="eastAsia" w:ascii="仿宋" w:hAnsi="仿宋" w:eastAsia="仿宋"/>
          <w:color w:val="000000"/>
          <w:szCs w:val="32"/>
          <w:highlight w:val="none"/>
          <w:lang w:val="en-US" w:eastAsia="zh-CN"/>
        </w:rPr>
        <w:t>中共自流井区纪委部门</w:t>
      </w:r>
      <w:r>
        <w:rPr>
          <w:rFonts w:hint="eastAsia" w:ascii="仿宋_GB2312"/>
          <w:color w:val="000000"/>
          <w:szCs w:val="32"/>
          <w:highlight w:val="none"/>
        </w:rPr>
        <w:t>共有车辆3辆，其中：主要领导干部用车0辆、机要通信用车0辆、应急保障用车0辆、其他用车3辆，其他用车主要是用于执纪监督、执纪审查工作，单价</w:t>
      </w:r>
      <w:r>
        <w:rPr>
          <w:rFonts w:ascii="仿宋_GB2312"/>
          <w:color w:val="000000"/>
          <w:szCs w:val="32"/>
          <w:highlight w:val="none"/>
        </w:rPr>
        <w:t>50</w:t>
      </w:r>
      <w:r>
        <w:rPr>
          <w:rFonts w:hint="eastAsia" w:ascii="仿宋_GB2312"/>
          <w:color w:val="000000"/>
          <w:szCs w:val="32"/>
          <w:highlight w:val="none"/>
        </w:rPr>
        <w:t>万元以上通用设备0台（套），单价</w:t>
      </w:r>
      <w:r>
        <w:rPr>
          <w:rFonts w:ascii="仿宋_GB2312"/>
          <w:color w:val="000000"/>
          <w:szCs w:val="32"/>
          <w:highlight w:val="none"/>
        </w:rPr>
        <w:t>100</w:t>
      </w:r>
      <w:r>
        <w:rPr>
          <w:rFonts w:hint="eastAsia" w:ascii="仿宋_GB2312"/>
          <w:color w:val="000000"/>
          <w:szCs w:val="32"/>
          <w:highlight w:val="none"/>
        </w:rPr>
        <w:t>万元以上专用设备0台（套）。</w:t>
      </w:r>
    </w:p>
    <w:p>
      <w:pPr>
        <w:autoSpaceDE w:val="0"/>
        <w:autoSpaceDN w:val="0"/>
        <w:adjustRightInd w:val="0"/>
        <w:spacing w:line="600" w:lineRule="exact"/>
        <w:ind w:firstLine="643" w:firstLineChars="200"/>
        <w:jc w:val="left"/>
        <w:outlineLvl w:val="2"/>
        <w:rPr>
          <w:rFonts w:ascii="仿宋" w:hAnsi="仿宋" w:eastAsia="仿宋"/>
          <w:b/>
          <w:color w:val="000000"/>
          <w:szCs w:val="32"/>
          <w:highlight w:val="none"/>
        </w:rPr>
      </w:pPr>
      <w:r>
        <w:rPr>
          <w:rFonts w:hint="eastAsia" w:ascii="仿宋" w:hAnsi="仿宋" w:eastAsia="仿宋"/>
          <w:b/>
          <w:color w:val="000000"/>
          <w:szCs w:val="32"/>
          <w:highlight w:val="none"/>
        </w:rPr>
        <w:t>（四）预算绩效管理情况。</w:t>
      </w:r>
    </w:p>
    <w:p>
      <w:pPr>
        <w:spacing w:line="580" w:lineRule="exact"/>
        <w:ind w:firstLine="640" w:firstLineChars="200"/>
        <w:rPr>
          <w:highlight w:val="none"/>
        </w:rPr>
      </w:pPr>
      <w:r>
        <w:rPr>
          <w:rFonts w:hint="eastAsia" w:ascii="仿宋_GB2312" w:hAnsi="仿宋_GB2312" w:cs="仿宋_GB2312"/>
          <w:szCs w:val="32"/>
          <w:highlight w:val="none"/>
        </w:rPr>
        <w:t>根据预算绩效管理要求，</w:t>
      </w:r>
      <w:r>
        <w:rPr>
          <w:rFonts w:hint="eastAsia" w:ascii="仿宋" w:hAnsi="仿宋" w:eastAsia="仿宋"/>
          <w:color w:val="000000"/>
          <w:szCs w:val="32"/>
          <w:highlight w:val="none"/>
          <w:lang w:val="en-US" w:eastAsia="zh-CN"/>
        </w:rPr>
        <w:t>中共自流井区纪委部门</w:t>
      </w:r>
      <w:r>
        <w:rPr>
          <w:rFonts w:hint="eastAsia" w:ascii="仿宋_GB2312" w:hAnsi="仿宋_GB2312" w:cs="仿宋_GB2312"/>
          <w:szCs w:val="32"/>
          <w:highlight w:val="none"/>
        </w:rPr>
        <w:t>在年初预算编制阶段，组织对其他纪检监察事务开展了预算事前绩效评估，对7个项目编制了绩效目标，预算执行过程中，选取5个项目开展绩效监控，年终执行完毕后，对5个项目开展了绩效目标完成情况自评。</w:t>
      </w:r>
    </w:p>
    <w:p>
      <w:pPr>
        <w:spacing w:line="580" w:lineRule="exact"/>
        <w:ind w:firstLine="640" w:firstLineChars="200"/>
        <w:rPr>
          <w:rFonts w:ascii="仿宋_GB2312" w:hAnsi="仿宋_GB2312" w:cs="仿宋_GB2312"/>
          <w:szCs w:val="32"/>
          <w:highlight w:val="none"/>
        </w:rPr>
      </w:pPr>
      <w:r>
        <w:rPr>
          <w:rFonts w:hint="eastAsia" w:ascii="仿宋_GB2312" w:hAnsi="仿宋_GB2312" w:cs="仿宋_GB2312"/>
          <w:szCs w:val="32"/>
          <w:highlight w:val="none"/>
        </w:rPr>
        <w:t>本部门按要求对</w:t>
      </w:r>
      <w:r>
        <w:rPr>
          <w:rFonts w:ascii="仿宋_GB2312" w:hAnsi="仿宋_GB2312" w:cs="仿宋_GB2312"/>
          <w:szCs w:val="32"/>
          <w:highlight w:val="none"/>
        </w:rPr>
        <w:t>2020</w:t>
      </w:r>
      <w:r>
        <w:rPr>
          <w:rFonts w:hint="eastAsia" w:ascii="仿宋_GB2312" w:hAnsi="仿宋_GB2312" w:cs="仿宋_GB2312"/>
          <w:szCs w:val="32"/>
          <w:highlight w:val="none"/>
        </w:rPr>
        <w:t>年部门整体支出开展绩效自评，从评价情况来看 2020年预算编制、报送及时合规、节能降耗效果较明显、内控制度建设较为完善，较好地完成了年度目标任务。本部门还自行组织了5个项目支出绩效评价，从评价情况来看完成了既定目标任务，但是还是存在一些问题。</w:t>
      </w:r>
    </w:p>
    <w:p>
      <w:pPr>
        <w:numPr>
          <w:ilvl w:val="0"/>
          <w:numId w:val="4"/>
        </w:numPr>
        <w:spacing w:line="580" w:lineRule="exact"/>
        <w:ind w:left="640" w:leftChars="200" w:firstLine="0" w:firstLineChars="0"/>
        <w:rPr>
          <w:rFonts w:hint="eastAsia" w:ascii="楷体_GB2312" w:hAnsi="楷体_GB2312" w:eastAsia="楷体_GB2312" w:cs="楷体_GB2312"/>
          <w:szCs w:val="32"/>
          <w:highlight w:val="none"/>
        </w:rPr>
      </w:pPr>
      <w:r>
        <w:rPr>
          <w:rFonts w:hint="eastAsia" w:ascii="楷体_GB2312" w:hAnsi="楷体_GB2312" w:eastAsia="楷体_GB2312" w:cs="楷体_GB2312"/>
          <w:szCs w:val="32"/>
          <w:highlight w:val="none"/>
        </w:rPr>
        <w:t>项目绩效目标完成情况。</w:t>
      </w:r>
    </w:p>
    <w:p>
      <w:pPr>
        <w:numPr>
          <w:ilvl w:val="0"/>
          <w:numId w:val="0"/>
        </w:numPr>
        <w:spacing w:line="580" w:lineRule="exact"/>
        <w:ind w:firstLine="640" w:firstLineChars="200"/>
        <w:rPr>
          <w:rFonts w:ascii="仿宋_GB2312" w:hAnsi="仿宋_GB2312" w:cs="仿宋_GB2312"/>
          <w:szCs w:val="32"/>
          <w:highlight w:val="none"/>
        </w:rPr>
      </w:pPr>
      <w:r>
        <w:rPr>
          <w:rFonts w:hint="eastAsia" w:ascii="仿宋_GB2312" w:hAnsi="仿宋_GB2312" w:cs="仿宋_GB2312"/>
          <w:szCs w:val="32"/>
          <w:highlight w:val="none"/>
        </w:rPr>
        <w:t>本部门在</w:t>
      </w:r>
      <w:r>
        <w:rPr>
          <w:rFonts w:ascii="仿宋_GB2312" w:hAnsi="仿宋_GB2312" w:cs="仿宋_GB2312"/>
          <w:szCs w:val="32"/>
          <w:highlight w:val="none"/>
        </w:rPr>
        <w:t>2020</w:t>
      </w:r>
      <w:r>
        <w:rPr>
          <w:rFonts w:hint="eastAsia" w:ascii="仿宋_GB2312" w:hAnsi="仿宋_GB2312" w:cs="仿宋_GB2312"/>
          <w:szCs w:val="32"/>
          <w:highlight w:val="none"/>
        </w:rPr>
        <w:t>年度部门决算中反映“清风问政</w:t>
      </w:r>
      <w:r>
        <w:rPr>
          <w:rFonts w:ascii="仿宋_GB2312" w:hAnsi="仿宋_GB2312" w:cs="仿宋_GB2312"/>
          <w:szCs w:val="32"/>
          <w:highlight w:val="none"/>
        </w:rPr>
        <w:t>””</w:t>
      </w:r>
      <w:r>
        <w:rPr>
          <w:rFonts w:hint="eastAsia" w:ascii="仿宋_GB2312" w:hAnsi="仿宋_GB2312" w:cs="仿宋_GB2312"/>
          <w:szCs w:val="32"/>
          <w:highlight w:val="none"/>
        </w:rPr>
        <w:t>纪检审查</w:t>
      </w:r>
      <w:r>
        <w:rPr>
          <w:rFonts w:ascii="仿宋_GB2312" w:hAnsi="仿宋_GB2312" w:cs="仿宋_GB2312"/>
          <w:szCs w:val="32"/>
          <w:highlight w:val="none"/>
        </w:rPr>
        <w:t>”</w:t>
      </w:r>
      <w:r>
        <w:rPr>
          <w:rFonts w:hint="eastAsia" w:ascii="仿宋_GB2312" w:hAnsi="仿宋_GB2312" w:cs="仿宋_GB2312"/>
          <w:szCs w:val="32"/>
          <w:highlight w:val="none"/>
        </w:rPr>
        <w:t>“党风廉政刊物征订费”“监察体制改革”“廉政教育宣传费”等5个项目绩效目标实际完成情况。（本单位部门项目绩效目标个数在</w:t>
      </w:r>
      <w:r>
        <w:rPr>
          <w:rFonts w:ascii="仿宋_GB2312" w:hAnsi="仿宋_GB2312" w:cs="仿宋_GB2312"/>
          <w:szCs w:val="32"/>
          <w:highlight w:val="none"/>
        </w:rPr>
        <w:t>5</w:t>
      </w:r>
      <w:r>
        <w:rPr>
          <w:rFonts w:hint="eastAsia" w:ascii="仿宋_GB2312" w:hAnsi="仿宋_GB2312" w:cs="仿宋_GB2312"/>
          <w:szCs w:val="32"/>
          <w:highlight w:val="none"/>
        </w:rPr>
        <w:t>个以上的，选取</w:t>
      </w:r>
      <w:r>
        <w:rPr>
          <w:rFonts w:ascii="仿宋_GB2312" w:hAnsi="仿宋_GB2312" w:cs="仿宋_GB2312"/>
          <w:szCs w:val="32"/>
          <w:highlight w:val="none"/>
        </w:rPr>
        <w:t>5</w:t>
      </w:r>
      <w:r>
        <w:rPr>
          <w:rFonts w:hint="eastAsia" w:ascii="仿宋_GB2312" w:hAnsi="仿宋_GB2312" w:cs="仿宋_GB2312"/>
          <w:szCs w:val="32"/>
          <w:highlight w:val="none"/>
        </w:rPr>
        <w:t>个项目进行公开，目标个数在</w:t>
      </w:r>
      <w:r>
        <w:rPr>
          <w:rFonts w:ascii="仿宋_GB2312" w:hAnsi="仿宋_GB2312" w:cs="仿宋_GB2312"/>
          <w:szCs w:val="32"/>
          <w:highlight w:val="none"/>
        </w:rPr>
        <w:t>5</w:t>
      </w:r>
      <w:r>
        <w:rPr>
          <w:rFonts w:hint="eastAsia" w:ascii="仿宋_GB2312" w:hAnsi="仿宋_GB2312" w:cs="仿宋_GB2312"/>
          <w:szCs w:val="32"/>
          <w:highlight w:val="none"/>
        </w:rPr>
        <w:t>个以下的，全部进行公开，公开内容包括选取的全部项目完成情况综述和完成情况表）。</w:t>
      </w:r>
    </w:p>
    <w:p>
      <w:pPr>
        <w:pStyle w:val="2"/>
        <w:ind w:left="0" w:leftChars="0" w:firstLine="640" w:firstLineChars="200"/>
        <w:rPr>
          <w:rFonts w:ascii="仿宋_GB2312" w:hAnsi="仿宋_GB2312" w:cs="仿宋_GB2312"/>
          <w:szCs w:val="32"/>
          <w:highlight w:val="none"/>
        </w:rPr>
      </w:pPr>
      <w:r>
        <w:rPr>
          <w:rFonts w:hint="eastAsia" w:ascii="仿宋_GB2312" w:hAnsi="仿宋_GB2312" w:cs="仿宋_GB2312"/>
          <w:szCs w:val="32"/>
          <w:highlight w:val="none"/>
        </w:rPr>
        <w:t>（</w:t>
      </w:r>
      <w:r>
        <w:rPr>
          <w:rFonts w:ascii="仿宋_GB2312" w:hAnsi="仿宋_GB2312" w:cs="仿宋_GB2312"/>
          <w:szCs w:val="32"/>
          <w:highlight w:val="none"/>
        </w:rPr>
        <w:t>1</w:t>
      </w:r>
      <w:r>
        <w:rPr>
          <w:rFonts w:hint="eastAsia" w:ascii="仿宋_GB2312" w:hAnsi="仿宋_GB2312" w:cs="仿宋_GB2312"/>
          <w:szCs w:val="32"/>
          <w:highlight w:val="none"/>
        </w:rPr>
        <w:t>）清风问政项目绩效目标完成情况综述。项目全年预算数12.75万元，执行数为5万元，完成预算的39.22</w:t>
      </w:r>
      <w:r>
        <w:rPr>
          <w:rFonts w:ascii="仿宋_GB2312" w:hAnsi="仿宋_GB2312" w:cs="仿宋_GB2312"/>
          <w:szCs w:val="32"/>
          <w:highlight w:val="none"/>
        </w:rPr>
        <w:t>%</w:t>
      </w:r>
      <w:r>
        <w:rPr>
          <w:rFonts w:hint="eastAsia" w:ascii="仿宋_GB2312" w:hAnsi="仿宋_GB2312" w:cs="仿宋_GB2312"/>
          <w:szCs w:val="32"/>
          <w:highlight w:val="none"/>
        </w:rPr>
        <w:t>。通过项目实施，</w:t>
      </w:r>
      <w:r>
        <w:rPr>
          <w:szCs w:val="32"/>
          <w:highlight w:val="none"/>
        </w:rPr>
        <w:t>举办“清风自流”问政节目</w:t>
      </w:r>
      <w:r>
        <w:rPr>
          <w:rFonts w:hint="eastAsia"/>
          <w:szCs w:val="32"/>
          <w:highlight w:val="none"/>
        </w:rPr>
        <w:t>1</w:t>
      </w:r>
      <w:r>
        <w:rPr>
          <w:szCs w:val="32"/>
          <w:highlight w:val="none"/>
        </w:rPr>
        <w:t>期，推动整改问题</w:t>
      </w:r>
      <w:r>
        <w:rPr>
          <w:rFonts w:hint="eastAsia"/>
          <w:szCs w:val="32"/>
          <w:highlight w:val="none"/>
        </w:rPr>
        <w:t>3</w:t>
      </w:r>
      <w:r>
        <w:rPr>
          <w:szCs w:val="32"/>
          <w:highlight w:val="none"/>
        </w:rPr>
        <w:t>个。</w:t>
      </w:r>
      <w:r>
        <w:rPr>
          <w:rFonts w:hint="eastAsia" w:ascii="仿宋_GB2312" w:hAnsi="仿宋_GB2312" w:cs="仿宋_GB2312"/>
          <w:szCs w:val="32"/>
          <w:highlight w:val="none"/>
        </w:rPr>
        <w:t>发现的主要问题：</w:t>
      </w:r>
      <w:r>
        <w:rPr>
          <w:rFonts w:hint="eastAsia" w:ascii="仿宋_GB2312" w:hAnsi="宋体"/>
          <w:szCs w:val="32"/>
          <w:highlight w:val="none"/>
        </w:rPr>
        <w:t>编制预算不够准确。本项目年初计划开展2期，预算12.75万，因工作需要，调整为1期，实际资金支出5万。</w:t>
      </w:r>
      <w:r>
        <w:rPr>
          <w:rFonts w:hint="eastAsia" w:ascii="仿宋_GB2312" w:hAnsi="仿宋_GB2312" w:cs="仿宋_GB2312"/>
          <w:szCs w:val="32"/>
          <w:highlight w:val="none"/>
        </w:rPr>
        <w:t>下一步改进措施：</w:t>
      </w:r>
      <w:r>
        <w:rPr>
          <w:rFonts w:hint="eastAsia" w:ascii="仿宋_GB2312" w:hAnsi="仿宋_GB2312" w:cs="仿宋_GB2312"/>
          <w:szCs w:val="32"/>
          <w:highlight w:val="none"/>
          <w:lang w:val="en-US" w:eastAsia="zh-CN"/>
        </w:rPr>
        <w:t>加强预算编制和执行力度</w:t>
      </w:r>
      <w:r>
        <w:rPr>
          <w:rFonts w:hint="eastAsia" w:ascii="仿宋_GB2312" w:hAnsi="仿宋_GB2312" w:cs="仿宋_GB2312"/>
          <w:szCs w:val="32"/>
          <w:highlight w:val="none"/>
        </w:rPr>
        <w:t>。</w:t>
      </w:r>
    </w:p>
    <w:p>
      <w:pPr>
        <w:adjustRightInd w:val="0"/>
        <w:snapToGrid w:val="0"/>
        <w:spacing w:line="600" w:lineRule="exact"/>
        <w:ind w:firstLine="720"/>
        <w:rPr>
          <w:rFonts w:ascii="仿宋_GB2312" w:hAnsi="仿宋_GB2312" w:cs="仿宋_GB2312"/>
          <w:szCs w:val="32"/>
          <w:highlight w:val="none"/>
        </w:rPr>
      </w:pPr>
      <w:r>
        <w:rPr>
          <w:rFonts w:hint="eastAsia" w:ascii="仿宋_GB2312" w:hAnsi="仿宋_GB2312" w:cs="仿宋_GB2312"/>
          <w:szCs w:val="32"/>
          <w:highlight w:val="none"/>
        </w:rPr>
        <w:t>（</w:t>
      </w:r>
      <w:r>
        <w:rPr>
          <w:rFonts w:ascii="仿宋_GB2312" w:hAnsi="仿宋_GB2312" w:cs="仿宋_GB2312"/>
          <w:szCs w:val="32"/>
          <w:highlight w:val="none"/>
        </w:rPr>
        <w:t>2</w:t>
      </w:r>
      <w:r>
        <w:rPr>
          <w:rFonts w:hint="eastAsia" w:ascii="仿宋_GB2312" w:hAnsi="仿宋_GB2312" w:cs="仿宋_GB2312"/>
          <w:szCs w:val="32"/>
          <w:highlight w:val="none"/>
        </w:rPr>
        <w:t>）纪检审查项目绩效目标完成情况综述。项目全年预算数55.25万元，执行数为55.25万元，完成预算的100</w:t>
      </w:r>
      <w:r>
        <w:rPr>
          <w:rFonts w:ascii="仿宋_GB2312" w:hAnsi="仿宋_GB2312" w:cs="仿宋_GB2312"/>
          <w:szCs w:val="32"/>
          <w:highlight w:val="none"/>
        </w:rPr>
        <w:t>%</w:t>
      </w:r>
      <w:r>
        <w:rPr>
          <w:rFonts w:hint="eastAsia" w:ascii="仿宋_GB2312" w:hAnsi="仿宋_GB2312" w:cs="仿宋_GB2312"/>
          <w:szCs w:val="32"/>
          <w:highlight w:val="none"/>
        </w:rPr>
        <w:t>。通过项目实施，推动全区各级实践运用监督执纪“四种形态”处理155人次，其中第一种形态91人次、占58.7%，第二种形态56人次、占36.1%，第三种形态4人次、占2.6%，第四种形态4人次、占2.6%。发现的主要问题：</w:t>
      </w:r>
      <w:r>
        <w:rPr>
          <w:rFonts w:hint="eastAsia" w:ascii="仿宋_GB2312" w:hAnsi="宋体"/>
          <w:szCs w:val="32"/>
          <w:highlight w:val="none"/>
        </w:rPr>
        <w:t>编制预算不够准确。该项目支出主要依据当年监督执纪问责、监督调查处置情况而定，只能预估概数，因此导致预算与实际执行情况有差异</w:t>
      </w:r>
      <w:r>
        <w:rPr>
          <w:rFonts w:hint="eastAsia" w:ascii="仿宋_GB2312" w:hAnsi="仿宋_GB2312" w:cs="仿宋_GB2312"/>
          <w:szCs w:val="32"/>
          <w:highlight w:val="none"/>
        </w:rPr>
        <w:t>。下一步改进措施：</w:t>
      </w:r>
      <w:r>
        <w:rPr>
          <w:rFonts w:hint="eastAsia" w:ascii="仿宋_GB2312" w:hAnsi="仿宋_GB2312" w:cs="仿宋_GB2312"/>
          <w:szCs w:val="32"/>
          <w:highlight w:val="none"/>
          <w:lang w:val="en-US" w:eastAsia="zh-CN"/>
        </w:rPr>
        <w:t>加强预算编制</w:t>
      </w:r>
      <w:r>
        <w:rPr>
          <w:rFonts w:hint="eastAsia" w:ascii="仿宋_GB2312" w:hAnsi="仿宋_GB2312" w:cs="仿宋_GB2312"/>
          <w:szCs w:val="32"/>
          <w:highlight w:val="none"/>
        </w:rPr>
        <w:t>。</w:t>
      </w:r>
    </w:p>
    <w:p>
      <w:pPr>
        <w:adjustRightInd w:val="0"/>
        <w:snapToGrid w:val="0"/>
        <w:spacing w:line="600" w:lineRule="exact"/>
        <w:ind w:firstLine="720"/>
        <w:rPr>
          <w:rFonts w:ascii="仿宋_GB2312" w:hAnsi="仿宋_GB2312" w:cs="仿宋_GB2312"/>
          <w:szCs w:val="32"/>
          <w:highlight w:val="none"/>
        </w:rPr>
      </w:pPr>
      <w:r>
        <w:rPr>
          <w:rFonts w:hint="eastAsia" w:ascii="仿宋_GB2312" w:hAnsi="仿宋_GB2312" w:cs="仿宋_GB2312"/>
          <w:szCs w:val="32"/>
          <w:highlight w:val="none"/>
        </w:rPr>
        <w:t>（</w:t>
      </w:r>
      <w:r>
        <w:rPr>
          <w:rFonts w:ascii="仿宋_GB2312" w:hAnsi="仿宋_GB2312" w:cs="仿宋_GB2312"/>
          <w:szCs w:val="32"/>
          <w:highlight w:val="none"/>
        </w:rPr>
        <w:t>3</w:t>
      </w:r>
      <w:r>
        <w:rPr>
          <w:rFonts w:hint="eastAsia" w:ascii="仿宋_GB2312" w:hAnsi="仿宋_GB2312" w:cs="仿宋_GB2312"/>
          <w:szCs w:val="32"/>
          <w:highlight w:val="none"/>
        </w:rPr>
        <w:t>）党风廉政刊物征订费项目绩效目标完成情况综述。项目全年预算数25.5万元，执行数为25.5万元，完成预算的100</w:t>
      </w:r>
      <w:r>
        <w:rPr>
          <w:rFonts w:ascii="仿宋_GB2312" w:hAnsi="仿宋_GB2312" w:cs="仿宋_GB2312"/>
          <w:szCs w:val="32"/>
          <w:highlight w:val="none"/>
        </w:rPr>
        <w:t>%</w:t>
      </w:r>
      <w:r>
        <w:rPr>
          <w:rFonts w:hint="eastAsia" w:ascii="仿宋_GB2312" w:hAnsi="仿宋_GB2312" w:cs="仿宋_GB2312"/>
          <w:szCs w:val="32"/>
          <w:highlight w:val="none"/>
        </w:rPr>
        <w:t>。通过项目实施，保障党风廉政刊物征订种类达十余类，全区覆盖单位达100余家。发现的主要问题：</w:t>
      </w:r>
      <w:r>
        <w:rPr>
          <w:rFonts w:hint="eastAsia" w:ascii="仿宋_GB2312" w:hAnsi="宋体"/>
          <w:szCs w:val="32"/>
          <w:highlight w:val="none"/>
        </w:rPr>
        <w:t>编制预算不够准确。该项目支出主要</w:t>
      </w:r>
      <w:r>
        <w:rPr>
          <w:rFonts w:hint="eastAsia" w:ascii="仿宋_GB2312" w:hAnsi="宋体"/>
          <w:szCs w:val="32"/>
          <w:highlight w:val="none"/>
          <w:lang w:val="en-US" w:eastAsia="zh-CN"/>
        </w:rPr>
        <w:t>以每年报刊征订数</w:t>
      </w:r>
      <w:r>
        <w:rPr>
          <w:rFonts w:hint="eastAsia" w:ascii="仿宋_GB2312" w:hAnsi="宋体"/>
          <w:szCs w:val="32"/>
          <w:highlight w:val="none"/>
        </w:rPr>
        <w:t>而定，</w:t>
      </w:r>
      <w:r>
        <w:rPr>
          <w:rFonts w:hint="eastAsia" w:ascii="仿宋_GB2312" w:hAnsi="宋体"/>
          <w:szCs w:val="32"/>
          <w:highlight w:val="none"/>
          <w:lang w:val="en-US" w:eastAsia="zh-CN"/>
        </w:rPr>
        <w:t>同时每年征订报刊的单价逐年上涨，只能预估概数，因此</w:t>
      </w:r>
      <w:r>
        <w:rPr>
          <w:rFonts w:hint="eastAsia" w:ascii="仿宋_GB2312" w:hAnsi="宋体"/>
          <w:szCs w:val="32"/>
          <w:highlight w:val="none"/>
        </w:rPr>
        <w:t>导致预算</w:t>
      </w:r>
      <w:r>
        <w:rPr>
          <w:rFonts w:hint="eastAsia" w:ascii="仿宋_GB2312" w:hAnsi="宋体"/>
          <w:szCs w:val="32"/>
          <w:highlight w:val="none"/>
          <w:lang w:val="en-US" w:eastAsia="zh-CN"/>
        </w:rPr>
        <w:t>略有不准</w:t>
      </w:r>
      <w:r>
        <w:rPr>
          <w:rFonts w:hint="eastAsia" w:ascii="仿宋_GB2312" w:hAnsi="仿宋_GB2312" w:cs="仿宋_GB2312"/>
          <w:szCs w:val="32"/>
          <w:highlight w:val="none"/>
        </w:rPr>
        <w:t>。下一步改进措施：</w:t>
      </w:r>
      <w:r>
        <w:rPr>
          <w:rFonts w:hint="eastAsia" w:ascii="仿宋_GB2312" w:hAnsi="仿宋_GB2312" w:cs="仿宋_GB2312"/>
          <w:szCs w:val="32"/>
          <w:highlight w:val="none"/>
          <w:lang w:val="en-US" w:eastAsia="zh-CN"/>
        </w:rPr>
        <w:t>加强预算编制</w:t>
      </w:r>
      <w:r>
        <w:rPr>
          <w:rFonts w:hint="eastAsia" w:ascii="仿宋_GB2312" w:hAnsi="仿宋_GB2312" w:cs="仿宋_GB2312"/>
          <w:szCs w:val="32"/>
          <w:highlight w:val="none"/>
        </w:rPr>
        <w:t>。</w:t>
      </w:r>
    </w:p>
    <w:p>
      <w:pPr>
        <w:adjustRightInd w:val="0"/>
        <w:snapToGrid w:val="0"/>
        <w:spacing w:line="600" w:lineRule="exact"/>
        <w:ind w:firstLine="720"/>
        <w:rPr>
          <w:rFonts w:ascii="仿宋_GB2312" w:hAnsi="仿宋_GB2312" w:cs="仿宋_GB2312"/>
          <w:szCs w:val="32"/>
          <w:highlight w:val="none"/>
        </w:rPr>
      </w:pPr>
      <w:r>
        <w:rPr>
          <w:rFonts w:hint="eastAsia" w:ascii="仿宋_GB2312" w:hAnsi="仿宋_GB2312" w:cs="仿宋_GB2312"/>
          <w:szCs w:val="32"/>
          <w:highlight w:val="none"/>
        </w:rPr>
        <w:t>（4）监察体制改革项目绩效目标完成情况综述。项目全年预算数34万元，执行数为10.12万元，完成预算的29.76</w:t>
      </w:r>
      <w:r>
        <w:rPr>
          <w:rFonts w:ascii="仿宋_GB2312" w:hAnsi="仿宋_GB2312" w:cs="仿宋_GB2312"/>
          <w:szCs w:val="32"/>
          <w:highlight w:val="none"/>
        </w:rPr>
        <w:t>%</w:t>
      </w:r>
      <w:r>
        <w:rPr>
          <w:rFonts w:hint="eastAsia" w:ascii="仿宋_GB2312" w:hAnsi="仿宋_GB2312" w:cs="仿宋_GB2312"/>
          <w:szCs w:val="32"/>
          <w:highlight w:val="none"/>
        </w:rPr>
        <w:t>。通过项目实施</w:t>
      </w:r>
      <w:r>
        <w:rPr>
          <w:bCs/>
          <w:szCs w:val="32"/>
          <w:highlight w:val="none"/>
        </w:rPr>
        <w:t>一体推进党的纪律检查体制改革、国家监察体制改革、纪检监察机构改革，强化镇（街）纪检监察组织标准化、规范化建设，完成派驻纪检监察机构编制划转和启用工作，持续优化纪检监察组织人员结构</w:t>
      </w:r>
      <w:r>
        <w:rPr>
          <w:rFonts w:hint="eastAsia" w:ascii="仿宋_GB2312" w:hAnsi="仿宋_GB2312" w:cs="仿宋_GB2312"/>
          <w:szCs w:val="32"/>
          <w:highlight w:val="none"/>
        </w:rPr>
        <w:t>。发现的主要问题：</w:t>
      </w:r>
      <w:r>
        <w:rPr>
          <w:rFonts w:hint="eastAsia" w:ascii="仿宋_GB2312" w:hAnsi="宋体"/>
          <w:szCs w:val="32"/>
          <w:highlight w:val="none"/>
        </w:rPr>
        <w:t>编制预算不够准确。本项目年初预算计划34万，因疫情原因和工作实际情况，未开展外出培训，实际资金支出10.12万。</w:t>
      </w:r>
      <w:r>
        <w:rPr>
          <w:rFonts w:hint="eastAsia" w:ascii="仿宋_GB2312" w:hAnsi="仿宋_GB2312" w:cs="仿宋_GB2312"/>
          <w:szCs w:val="32"/>
          <w:highlight w:val="none"/>
        </w:rPr>
        <w:t>下一步改进措施：</w:t>
      </w:r>
      <w:r>
        <w:rPr>
          <w:rFonts w:hint="eastAsia" w:ascii="仿宋_GB2312" w:hAnsi="宋体"/>
          <w:szCs w:val="32"/>
          <w:highlight w:val="none"/>
          <w:lang w:val="zh-CN" w:eastAsia="zh-CN"/>
        </w:rPr>
        <w:t>加强前期评估，</w:t>
      </w:r>
      <w:r>
        <w:rPr>
          <w:rFonts w:hint="eastAsia" w:ascii="仿宋_GB2312" w:hAnsi="宋体"/>
          <w:szCs w:val="32"/>
          <w:highlight w:val="none"/>
          <w:lang w:val="en-US" w:eastAsia="zh-CN"/>
        </w:rPr>
        <w:t>着眼监察体制改革工作</w:t>
      </w:r>
      <w:r>
        <w:rPr>
          <w:rFonts w:hint="eastAsia" w:ascii="仿宋_GB2312" w:hAnsi="宋体"/>
          <w:szCs w:val="32"/>
          <w:highlight w:val="none"/>
          <w:lang w:val="zh-CN" w:eastAsia="zh-CN"/>
        </w:rPr>
        <w:t>计划安排的前瞻性，加快项目预算执行进度。</w:t>
      </w:r>
    </w:p>
    <w:p>
      <w:pPr>
        <w:adjustRightInd w:val="0"/>
        <w:snapToGrid w:val="0"/>
        <w:spacing w:line="600" w:lineRule="exact"/>
        <w:ind w:firstLine="720"/>
        <w:rPr>
          <w:rFonts w:ascii="仿宋_GB2312" w:hAnsi="仿宋_GB2312" w:cs="仿宋_GB2312"/>
          <w:szCs w:val="32"/>
          <w:highlight w:val="none"/>
        </w:rPr>
      </w:pPr>
      <w:r>
        <w:rPr>
          <w:rFonts w:hint="eastAsia" w:ascii="仿宋_GB2312" w:hAnsi="仿宋_GB2312" w:cs="仿宋_GB2312"/>
          <w:szCs w:val="32"/>
          <w:highlight w:val="none"/>
        </w:rPr>
        <w:t>（5）廉政教育宣传费项目绩效目标完成情况综述。项目全年预算数8.5万元，执行数为5.5万元，完成预算的64.71</w:t>
      </w:r>
      <w:r>
        <w:rPr>
          <w:rFonts w:ascii="仿宋_GB2312" w:hAnsi="仿宋_GB2312" w:cs="仿宋_GB2312"/>
          <w:szCs w:val="32"/>
          <w:highlight w:val="none"/>
        </w:rPr>
        <w:t>%</w:t>
      </w:r>
      <w:r>
        <w:rPr>
          <w:rFonts w:hint="eastAsia" w:ascii="仿宋_GB2312" w:hAnsi="仿宋_GB2312" w:cs="仿宋_GB2312"/>
          <w:szCs w:val="32"/>
          <w:highlight w:val="none"/>
        </w:rPr>
        <w:t>。用身边事教育身边人，公开曝光典型案例16期，发放警示教育读本800余册，党员干部参观自流井区基层党员干部廉政教育基地、廉政文化示范点等1800余人次，理想信念教育、反面警示教育更加走心入脑。发现的主要问题：</w:t>
      </w:r>
      <w:r>
        <w:rPr>
          <w:rFonts w:hint="eastAsia" w:ascii="仿宋_GB2312" w:hAnsi="宋体"/>
          <w:szCs w:val="32"/>
          <w:highlight w:val="none"/>
        </w:rPr>
        <w:t>编制预算不够准确。该项目支出主要依据</w:t>
      </w:r>
      <w:r>
        <w:rPr>
          <w:rFonts w:hint="eastAsia" w:ascii="仿宋_GB2312" w:hAnsi="宋体"/>
          <w:szCs w:val="32"/>
          <w:highlight w:val="none"/>
          <w:lang w:val="en-US" w:eastAsia="zh-CN"/>
        </w:rPr>
        <w:t>开展的廉政教育宣传</w:t>
      </w:r>
      <w:r>
        <w:rPr>
          <w:rFonts w:hint="eastAsia" w:ascii="仿宋_GB2312" w:hAnsi="宋体"/>
          <w:szCs w:val="32"/>
          <w:highlight w:val="none"/>
        </w:rPr>
        <w:t>情况而定，只能预估概数，因此导致预算与实际执行情况有差异</w:t>
      </w:r>
      <w:r>
        <w:rPr>
          <w:rFonts w:hint="eastAsia" w:ascii="仿宋_GB2312" w:hAnsi="仿宋_GB2312" w:cs="仿宋_GB2312"/>
          <w:szCs w:val="32"/>
          <w:highlight w:val="none"/>
        </w:rPr>
        <w:t>。下一步改进措施：</w:t>
      </w:r>
      <w:r>
        <w:rPr>
          <w:rFonts w:hint="eastAsia" w:ascii="仿宋_GB2312" w:hAnsi="宋体"/>
          <w:szCs w:val="32"/>
          <w:highlight w:val="none"/>
          <w:lang w:val="zh-CN" w:eastAsia="zh-CN"/>
        </w:rPr>
        <w:t>加强前期评估，</w:t>
      </w:r>
      <w:r>
        <w:rPr>
          <w:rFonts w:hint="eastAsia" w:ascii="仿宋_GB2312" w:hAnsi="宋体"/>
          <w:szCs w:val="32"/>
          <w:highlight w:val="none"/>
          <w:lang w:val="en-US" w:eastAsia="zh-CN"/>
        </w:rPr>
        <w:t>着眼廉政教育宣传</w:t>
      </w:r>
      <w:r>
        <w:rPr>
          <w:rFonts w:hint="eastAsia" w:ascii="仿宋_GB2312" w:hAnsi="宋体"/>
          <w:szCs w:val="32"/>
          <w:highlight w:val="none"/>
          <w:lang w:val="zh-CN" w:eastAsia="zh-CN"/>
        </w:rPr>
        <w:t>计划安排的前瞻性，加快项目预算执行进度。</w:t>
      </w:r>
    </w:p>
    <w:p>
      <w:pPr>
        <w:rPr>
          <w:highlight w:val="none"/>
        </w:rPr>
      </w:pPr>
    </w:p>
    <w:p>
      <w:pPr>
        <w:pStyle w:val="2"/>
        <w:rPr>
          <w:highlight w:val="none"/>
        </w:rPr>
      </w:pPr>
    </w:p>
    <w:p>
      <w:pPr>
        <w:rPr>
          <w:highlight w:val="none"/>
        </w:rPr>
      </w:pPr>
    </w:p>
    <w:p>
      <w:pPr>
        <w:pStyle w:val="2"/>
        <w:rPr>
          <w:highlight w:val="none"/>
        </w:rPr>
      </w:pPr>
    </w:p>
    <w:p>
      <w:pPr>
        <w:rPr>
          <w:highlight w:val="none"/>
        </w:rPr>
      </w:pPr>
    </w:p>
    <w:p>
      <w:pPr>
        <w:pStyle w:val="2"/>
        <w:rPr>
          <w:highlight w:val="none"/>
        </w:rPr>
      </w:pPr>
    </w:p>
    <w:p>
      <w:pPr>
        <w:rPr>
          <w:highlight w:val="none"/>
        </w:rPr>
      </w:pPr>
    </w:p>
    <w:p>
      <w:pPr>
        <w:pStyle w:val="2"/>
        <w:rPr>
          <w:highlight w:val="none"/>
        </w:rPr>
      </w:pPr>
    </w:p>
    <w:p>
      <w:pPr>
        <w:pStyle w:val="2"/>
        <w:ind w:left="0" w:leftChars="0" w:firstLine="0" w:firstLineChars="0"/>
      </w:pPr>
    </w:p>
    <w:p/>
    <w:p>
      <w:pPr>
        <w:pStyle w:val="2"/>
      </w:pPr>
    </w:p>
    <w:p/>
    <w:p>
      <w:pPr>
        <w:pStyle w:val="2"/>
      </w:pPr>
    </w:p>
    <w:p/>
    <w:p>
      <w:pPr>
        <w:pStyle w:val="2"/>
      </w:pPr>
    </w:p>
    <w:p/>
    <w:p>
      <w:pPr>
        <w:pStyle w:val="2"/>
      </w:pPr>
    </w:p>
    <w:p/>
    <w:p>
      <w:pPr>
        <w:pStyle w:val="2"/>
      </w:pPr>
    </w:p>
    <w:p/>
    <w:tbl>
      <w:tblPr>
        <w:tblStyle w:val="15"/>
        <w:tblpPr w:leftFromText="180" w:rightFromText="180" w:vertAnchor="text" w:horzAnchor="page" w:tblpXSpec="center" w:tblpY="307"/>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cs="宋体"/>
                <w:color w:val="000000"/>
                <w:sz w:val="36"/>
                <w:szCs w:val="36"/>
                <w:highlight w:val="none"/>
              </w:rPr>
            </w:pPr>
            <w:r>
              <w:rPr>
                <w:rFonts w:hint="eastAsia" w:ascii="宋体" w:hAnsi="宋体" w:cs="宋体"/>
                <w:b/>
                <w:bCs/>
                <w:color w:val="000000"/>
                <w:kern w:val="0"/>
                <w:sz w:val="36"/>
                <w:szCs w:val="36"/>
                <w:highlight w:val="none"/>
              </w:rPr>
              <w:t>项目绩效目标完成情况表</w:t>
            </w:r>
            <w:r>
              <w:rPr>
                <w:rFonts w:ascii="宋体" w:cs="宋体"/>
                <w:b/>
                <w:bCs/>
                <w:color w:val="000000"/>
                <w:kern w:val="0"/>
                <w:sz w:val="36"/>
                <w:szCs w:val="36"/>
                <w:highlight w:val="none"/>
              </w:rPr>
              <w:br w:type="textWrapping"/>
            </w:r>
            <w:r>
              <w:rPr>
                <w:rFonts w:ascii="宋体" w:hAnsi="宋体" w:cs="宋体"/>
                <w:color w:val="000000"/>
                <w:kern w:val="0"/>
                <w:sz w:val="36"/>
                <w:szCs w:val="36"/>
                <w:highlight w:val="none"/>
              </w:rPr>
              <w:t>(2020</w:t>
            </w:r>
            <w:r>
              <w:rPr>
                <w:rFonts w:hint="eastAsia" w:ascii="宋体" w:hAnsi="宋体" w:cs="宋体"/>
                <w:color w:val="000000"/>
                <w:kern w:val="0"/>
                <w:sz w:val="36"/>
                <w:szCs w:val="36"/>
                <w:highlight w:val="none"/>
              </w:rPr>
              <w:t>年度</w:t>
            </w:r>
            <w:r>
              <w:rPr>
                <w:rFonts w:ascii="宋体" w:hAnsi="宋体" w:cs="宋体"/>
                <w:color w:val="000000"/>
                <w:kern w:val="0"/>
                <w:sz w:val="36"/>
                <w:szCs w:val="36"/>
                <w:highlight w:val="none"/>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清风问政</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区纪委</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预算执行情况</w:t>
            </w:r>
            <w:r>
              <w:rPr>
                <w:rFonts w:ascii="宋体" w:hAnsi="宋体" w:cs="宋体"/>
                <w:color w:val="000000"/>
                <w:kern w:val="0"/>
                <w:sz w:val="24"/>
                <w:highlight w:val="none"/>
              </w:rPr>
              <w:t>(</w:t>
            </w:r>
            <w:r>
              <w:rPr>
                <w:rFonts w:hint="eastAsia" w:ascii="宋体" w:hAnsi="宋体" w:cs="宋体"/>
                <w:color w:val="000000"/>
                <w:kern w:val="0"/>
                <w:sz w:val="24"/>
                <w:highlight w:val="none"/>
              </w:rPr>
              <w:t>万元</w:t>
            </w:r>
            <w:r>
              <w:rPr>
                <w:rFonts w:ascii="宋体" w:hAnsi="宋体" w:cs="宋体"/>
                <w:color w:val="000000"/>
                <w:kern w:val="0"/>
                <w:sz w:val="24"/>
                <w:highlight w:val="none"/>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12.75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执行数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12.75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5</w:t>
            </w:r>
          </w:p>
        </w:tc>
      </w:tr>
      <w:tr>
        <w:tblPrEx>
          <w:tblCellMar>
            <w:top w:w="0" w:type="dxa"/>
            <w:left w:w="0" w:type="dxa"/>
            <w:bottom w:w="0" w:type="dxa"/>
            <w:right w:w="0" w:type="dxa"/>
          </w:tblCellMar>
        </w:tblPrEx>
        <w:trPr>
          <w:trHeight w:val="134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促勤廉双优，激清风自流</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举办“清风自流”问政节目1期，推动整改问题3个</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sz w:val="24"/>
                <w:highlight w:val="none"/>
              </w:rPr>
              <w:t>绩效指标完成情况</w:t>
            </w: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r>
      <w:tr>
        <w:tblPrEx>
          <w:tblCellMar>
            <w:top w:w="0" w:type="dxa"/>
            <w:left w:w="0" w:type="dxa"/>
            <w:bottom w:w="0" w:type="dxa"/>
            <w:right w:w="0" w:type="dxa"/>
          </w:tblCellMar>
        </w:tblPrEx>
        <w:trPr>
          <w:trHeight w:val="953"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开展期数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大于等于1期</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大于等于1期</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举办“清风自流”问政节目1期</w:t>
            </w:r>
          </w:p>
        </w:tc>
      </w:tr>
      <w:tr>
        <w:tblPrEx>
          <w:tblCellMar>
            <w:top w:w="0" w:type="dxa"/>
            <w:left w:w="0" w:type="dxa"/>
            <w:bottom w:w="0" w:type="dxa"/>
            <w:right w:w="0" w:type="dxa"/>
          </w:tblCellMar>
        </w:tblPrEx>
        <w:trPr>
          <w:trHeight w:val="1297"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年底完成100%</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可持续影响指标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在一定时期内发挥影响</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全年</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全年</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highlight w:val="none"/>
              </w:rPr>
            </w:pPr>
            <w:r>
              <w:rPr>
                <w:rFonts w:hint="eastAsia" w:ascii="宋体" w:hAnsi="宋体" w:cs="宋体"/>
                <w:color w:val="000000"/>
                <w:kern w:val="0"/>
                <w:sz w:val="24"/>
                <w:highlight w:val="none"/>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大等于80%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85%</w:t>
            </w:r>
          </w:p>
        </w:tc>
      </w:tr>
    </w:tbl>
    <w:p>
      <w:pPr>
        <w:spacing w:line="580" w:lineRule="exact"/>
        <w:ind w:firstLine="640" w:firstLineChars="200"/>
        <w:rPr>
          <w:rFonts w:ascii="仿宋_GB2312" w:hAnsi="仿宋_GB2312" w:cs="仿宋_GB2312"/>
          <w:szCs w:val="32"/>
          <w:highlight w:val="none"/>
        </w:rPr>
      </w:pPr>
    </w:p>
    <w:p>
      <w:pPr>
        <w:spacing w:line="580" w:lineRule="exact"/>
        <w:rPr>
          <w:rFonts w:ascii="仿宋_GB2312" w:hAnsi="仿宋_GB2312" w:cs="仿宋_GB2312"/>
          <w:szCs w:val="32"/>
          <w:highlight w:val="none"/>
        </w:rPr>
      </w:pPr>
    </w:p>
    <w:tbl>
      <w:tblPr>
        <w:tblStyle w:val="15"/>
        <w:tblpPr w:leftFromText="180" w:rightFromText="180" w:vertAnchor="text" w:horzAnchor="page" w:tblpXSpec="center" w:tblpY="307"/>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cs="宋体"/>
                <w:color w:val="000000"/>
                <w:sz w:val="36"/>
                <w:szCs w:val="36"/>
                <w:highlight w:val="none"/>
              </w:rPr>
            </w:pPr>
            <w:r>
              <w:rPr>
                <w:rFonts w:hint="eastAsia" w:ascii="宋体" w:hAnsi="宋体" w:cs="宋体"/>
                <w:b/>
                <w:bCs/>
                <w:color w:val="000000"/>
                <w:kern w:val="0"/>
                <w:sz w:val="36"/>
                <w:szCs w:val="36"/>
                <w:highlight w:val="none"/>
              </w:rPr>
              <w:t>项目绩效目标完成情况表</w:t>
            </w:r>
            <w:r>
              <w:rPr>
                <w:rFonts w:ascii="宋体" w:cs="宋体"/>
                <w:b/>
                <w:bCs/>
                <w:color w:val="000000"/>
                <w:kern w:val="0"/>
                <w:sz w:val="36"/>
                <w:szCs w:val="36"/>
                <w:highlight w:val="none"/>
              </w:rPr>
              <w:br w:type="textWrapping"/>
            </w:r>
            <w:r>
              <w:rPr>
                <w:rFonts w:ascii="宋体" w:hAnsi="宋体" w:cs="宋体"/>
                <w:color w:val="000000"/>
                <w:kern w:val="0"/>
                <w:sz w:val="36"/>
                <w:szCs w:val="36"/>
                <w:highlight w:val="none"/>
              </w:rPr>
              <w:t>(2020</w:t>
            </w:r>
            <w:r>
              <w:rPr>
                <w:rFonts w:hint="eastAsia" w:ascii="宋体" w:hAnsi="宋体" w:cs="宋体"/>
                <w:color w:val="000000"/>
                <w:kern w:val="0"/>
                <w:sz w:val="36"/>
                <w:szCs w:val="36"/>
                <w:highlight w:val="none"/>
              </w:rPr>
              <w:t>年度</w:t>
            </w:r>
            <w:r>
              <w:rPr>
                <w:rFonts w:ascii="宋体" w:hAnsi="宋体" w:cs="宋体"/>
                <w:color w:val="000000"/>
                <w:kern w:val="0"/>
                <w:sz w:val="36"/>
                <w:szCs w:val="36"/>
                <w:highlight w:val="none"/>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纪检审查经费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区纪委</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预算执行情况</w:t>
            </w:r>
            <w:r>
              <w:rPr>
                <w:rFonts w:ascii="宋体" w:hAnsi="宋体" w:cs="宋体"/>
                <w:color w:val="000000"/>
                <w:kern w:val="0"/>
                <w:sz w:val="24"/>
                <w:highlight w:val="none"/>
              </w:rPr>
              <w:t>(</w:t>
            </w:r>
            <w:r>
              <w:rPr>
                <w:rFonts w:hint="eastAsia" w:ascii="宋体" w:hAnsi="宋体" w:cs="宋体"/>
                <w:color w:val="000000"/>
                <w:kern w:val="0"/>
                <w:sz w:val="24"/>
                <w:highlight w:val="none"/>
              </w:rPr>
              <w:t>万元</w:t>
            </w:r>
            <w:r>
              <w:rPr>
                <w:rFonts w:ascii="宋体" w:hAnsi="宋体" w:cs="宋体"/>
                <w:color w:val="000000"/>
                <w:kern w:val="0"/>
                <w:sz w:val="24"/>
                <w:highlight w:val="none"/>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ascii="宋体" w:cs="宋体"/>
                <w:color w:val="000000"/>
                <w:sz w:val="24"/>
                <w:highlight w:val="none"/>
              </w:rPr>
              <w:t>55.25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执行数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55.25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55.25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55.25</w:t>
            </w:r>
          </w:p>
        </w:tc>
      </w:tr>
      <w:tr>
        <w:tblPrEx>
          <w:tblCellMar>
            <w:top w:w="0" w:type="dxa"/>
            <w:left w:w="0" w:type="dxa"/>
            <w:bottom w:w="0" w:type="dxa"/>
            <w:right w:w="0" w:type="dxa"/>
          </w:tblCellMar>
        </w:tblPrEx>
        <w:trPr>
          <w:trHeight w:val="134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综合运用监督执纪“四种形态”，进一步营造良好政治生态</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通过项目实施，推动全区各级实践运用监督执纪“四种形态”处理155人次，其中第一种形态91人次、占58.7%，第二种形态56人次、占36.1%，第三种形态4人次、占2.6%，第四种形态4人次、占2.6%。</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sz w:val="24"/>
                <w:highlight w:val="none"/>
              </w:rPr>
              <w:t>绩效指标完成情况</w:t>
            </w: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r>
      <w:tr>
        <w:tblPrEx>
          <w:tblCellMar>
            <w:top w:w="0" w:type="dxa"/>
            <w:left w:w="0" w:type="dxa"/>
            <w:bottom w:w="0" w:type="dxa"/>
            <w:right w:w="0" w:type="dxa"/>
          </w:tblCellMar>
        </w:tblPrEx>
        <w:trPr>
          <w:trHeight w:val="953"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开展监督执纪、追责问责</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追责问责数大等于50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追责问责数大等于50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追责问责155人</w:t>
            </w:r>
          </w:p>
        </w:tc>
      </w:tr>
      <w:tr>
        <w:tblPrEx>
          <w:tblCellMar>
            <w:top w:w="0" w:type="dxa"/>
            <w:left w:w="0" w:type="dxa"/>
            <w:bottom w:w="0" w:type="dxa"/>
            <w:right w:w="0" w:type="dxa"/>
          </w:tblCellMar>
        </w:tblPrEx>
        <w:trPr>
          <w:trHeight w:val="1297"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年底完成100%</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可持续影响指标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在一定时期内发挥影响</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全年</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全年</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highlight w:val="none"/>
              </w:rPr>
            </w:pPr>
            <w:r>
              <w:rPr>
                <w:rFonts w:hint="eastAsia" w:ascii="宋体" w:hAnsi="宋体" w:cs="宋体"/>
                <w:color w:val="000000"/>
                <w:kern w:val="0"/>
                <w:sz w:val="24"/>
                <w:highlight w:val="none"/>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大等于80%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85%</w:t>
            </w:r>
          </w:p>
        </w:tc>
      </w:tr>
    </w:tbl>
    <w:p>
      <w:pPr>
        <w:spacing w:line="580" w:lineRule="exact"/>
        <w:ind w:left="630"/>
        <w:rPr>
          <w:rFonts w:ascii="仿宋_GB2312" w:hAnsi="仿宋_GB2312" w:cs="仿宋_GB2312"/>
          <w:szCs w:val="32"/>
          <w:highlight w:val="none"/>
        </w:rPr>
      </w:pPr>
    </w:p>
    <w:p>
      <w:pPr>
        <w:spacing w:line="580" w:lineRule="exact"/>
        <w:ind w:left="630"/>
        <w:rPr>
          <w:rFonts w:ascii="仿宋_GB2312" w:hAnsi="仿宋_GB2312" w:cs="仿宋_GB2312"/>
          <w:szCs w:val="32"/>
          <w:highlight w:val="none"/>
        </w:rPr>
      </w:pPr>
    </w:p>
    <w:tbl>
      <w:tblPr>
        <w:tblStyle w:val="15"/>
        <w:tblpPr w:leftFromText="180" w:rightFromText="180" w:vertAnchor="text" w:horzAnchor="page" w:tblpXSpec="center" w:tblpY="307"/>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cs="宋体"/>
                <w:color w:val="000000"/>
                <w:sz w:val="36"/>
                <w:szCs w:val="36"/>
                <w:highlight w:val="none"/>
              </w:rPr>
            </w:pPr>
            <w:r>
              <w:rPr>
                <w:rFonts w:hint="eastAsia" w:ascii="宋体" w:hAnsi="宋体" w:cs="宋体"/>
                <w:b/>
                <w:bCs/>
                <w:color w:val="000000"/>
                <w:kern w:val="0"/>
                <w:sz w:val="36"/>
                <w:szCs w:val="36"/>
                <w:highlight w:val="none"/>
              </w:rPr>
              <w:t>项目绩效目标完成情况表</w:t>
            </w:r>
            <w:r>
              <w:rPr>
                <w:rFonts w:ascii="宋体" w:cs="宋体"/>
                <w:b/>
                <w:bCs/>
                <w:color w:val="000000"/>
                <w:kern w:val="0"/>
                <w:sz w:val="36"/>
                <w:szCs w:val="36"/>
                <w:highlight w:val="none"/>
              </w:rPr>
              <w:br w:type="textWrapping"/>
            </w:r>
            <w:r>
              <w:rPr>
                <w:rFonts w:ascii="宋体" w:hAnsi="宋体" w:cs="宋体"/>
                <w:color w:val="000000"/>
                <w:kern w:val="0"/>
                <w:sz w:val="36"/>
                <w:szCs w:val="36"/>
                <w:highlight w:val="none"/>
              </w:rPr>
              <w:t>(2020</w:t>
            </w:r>
            <w:r>
              <w:rPr>
                <w:rFonts w:hint="eastAsia" w:ascii="宋体" w:hAnsi="宋体" w:cs="宋体"/>
                <w:color w:val="000000"/>
                <w:kern w:val="0"/>
                <w:sz w:val="36"/>
                <w:szCs w:val="36"/>
                <w:highlight w:val="none"/>
              </w:rPr>
              <w:t>年度</w:t>
            </w:r>
            <w:r>
              <w:rPr>
                <w:rFonts w:ascii="宋体" w:hAnsi="宋体" w:cs="宋体"/>
                <w:color w:val="000000"/>
                <w:kern w:val="0"/>
                <w:sz w:val="36"/>
                <w:szCs w:val="36"/>
                <w:highlight w:val="none"/>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ascii="宋体" w:cs="宋体"/>
                <w:color w:val="000000"/>
                <w:sz w:val="24"/>
                <w:highlight w:val="none"/>
              </w:rPr>
              <w:t>党风廉政刊物征订费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区纪委</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预算执行情况</w:t>
            </w:r>
            <w:r>
              <w:rPr>
                <w:rFonts w:ascii="宋体" w:hAnsi="宋体" w:cs="宋体"/>
                <w:color w:val="000000"/>
                <w:kern w:val="0"/>
                <w:sz w:val="24"/>
                <w:highlight w:val="none"/>
              </w:rPr>
              <w:t>(</w:t>
            </w:r>
            <w:r>
              <w:rPr>
                <w:rFonts w:hint="eastAsia" w:ascii="宋体" w:hAnsi="宋体" w:cs="宋体"/>
                <w:color w:val="000000"/>
                <w:kern w:val="0"/>
                <w:sz w:val="24"/>
                <w:highlight w:val="none"/>
              </w:rPr>
              <w:t>万元</w:t>
            </w:r>
            <w:r>
              <w:rPr>
                <w:rFonts w:ascii="宋体" w:hAnsi="宋体" w:cs="宋体"/>
                <w:color w:val="000000"/>
                <w:kern w:val="0"/>
                <w:sz w:val="24"/>
                <w:highlight w:val="none"/>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25.5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执行数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25.5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25.5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25.5</w:t>
            </w:r>
          </w:p>
        </w:tc>
      </w:tr>
      <w:tr>
        <w:tblPrEx>
          <w:tblCellMar>
            <w:top w:w="0" w:type="dxa"/>
            <w:left w:w="0" w:type="dxa"/>
            <w:bottom w:w="0" w:type="dxa"/>
            <w:right w:w="0" w:type="dxa"/>
          </w:tblCellMar>
        </w:tblPrEx>
        <w:trPr>
          <w:trHeight w:val="134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完成市纪委下达的报刊征订任务</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通过项目实施，保障党风廉政刊物征订种类达十余类，全区覆盖单位达100余家</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sz w:val="24"/>
                <w:highlight w:val="none"/>
              </w:rPr>
              <w:t>绩效指标完成情况</w:t>
            </w: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r>
      <w:tr>
        <w:tblPrEx>
          <w:tblCellMar>
            <w:top w:w="0" w:type="dxa"/>
            <w:left w:w="0" w:type="dxa"/>
            <w:bottom w:w="0" w:type="dxa"/>
            <w:right w:w="0" w:type="dxa"/>
          </w:tblCellMar>
        </w:tblPrEx>
        <w:trPr>
          <w:trHeight w:val="953"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开展监督执纪、追责问责</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征订量不低于上年度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保障党风廉政刊物征订种类达十余类，全区覆盖单位达100余家</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保障党风廉政刊物征订种类达十余类，全区覆盖单位达100余家</w:t>
            </w:r>
          </w:p>
        </w:tc>
      </w:tr>
      <w:tr>
        <w:tblPrEx>
          <w:tblCellMar>
            <w:top w:w="0" w:type="dxa"/>
            <w:left w:w="0" w:type="dxa"/>
            <w:bottom w:w="0" w:type="dxa"/>
            <w:right w:w="0" w:type="dxa"/>
          </w:tblCellMar>
        </w:tblPrEx>
        <w:trPr>
          <w:trHeight w:val="1297"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征订报刊份数</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不低于1000份</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不低于1000份</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年底完成100%</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highlight w:val="none"/>
              </w:rPr>
            </w:pPr>
            <w:r>
              <w:rPr>
                <w:rFonts w:hint="eastAsia" w:ascii="宋体" w:hAnsi="宋体" w:cs="宋体"/>
                <w:color w:val="000000"/>
                <w:kern w:val="0"/>
                <w:sz w:val="24"/>
                <w:highlight w:val="none"/>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大等于90%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90%</w:t>
            </w:r>
          </w:p>
        </w:tc>
      </w:tr>
    </w:tbl>
    <w:p>
      <w:pPr>
        <w:pStyle w:val="2"/>
        <w:ind w:left="2560"/>
        <w:rPr>
          <w:rFonts w:ascii="仿宋_GB2312" w:hAnsi="仿宋_GB2312" w:cs="仿宋_GB2312"/>
          <w:szCs w:val="32"/>
          <w:highlight w:val="none"/>
        </w:rPr>
      </w:pPr>
    </w:p>
    <w:p>
      <w:pPr>
        <w:rPr>
          <w:highlight w:val="none"/>
        </w:rPr>
      </w:pPr>
    </w:p>
    <w:tbl>
      <w:tblPr>
        <w:tblStyle w:val="15"/>
        <w:tblpPr w:leftFromText="180" w:rightFromText="180" w:vertAnchor="text" w:horzAnchor="page" w:tblpXSpec="center" w:tblpY="307"/>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cs="宋体"/>
                <w:color w:val="000000"/>
                <w:sz w:val="36"/>
                <w:szCs w:val="36"/>
                <w:highlight w:val="none"/>
              </w:rPr>
            </w:pPr>
            <w:r>
              <w:rPr>
                <w:rFonts w:hint="eastAsia" w:ascii="宋体" w:hAnsi="宋体" w:cs="宋体"/>
                <w:b/>
                <w:bCs/>
                <w:color w:val="000000"/>
                <w:kern w:val="0"/>
                <w:sz w:val="36"/>
                <w:szCs w:val="36"/>
                <w:highlight w:val="none"/>
              </w:rPr>
              <w:t>项目绩效目标完成情况表</w:t>
            </w:r>
            <w:r>
              <w:rPr>
                <w:rFonts w:ascii="宋体" w:cs="宋体"/>
                <w:b/>
                <w:bCs/>
                <w:color w:val="000000"/>
                <w:kern w:val="0"/>
                <w:sz w:val="36"/>
                <w:szCs w:val="36"/>
                <w:highlight w:val="none"/>
              </w:rPr>
              <w:br w:type="textWrapping"/>
            </w:r>
            <w:r>
              <w:rPr>
                <w:rFonts w:ascii="宋体" w:hAnsi="宋体" w:cs="宋体"/>
                <w:color w:val="000000"/>
                <w:kern w:val="0"/>
                <w:sz w:val="36"/>
                <w:szCs w:val="36"/>
                <w:highlight w:val="none"/>
              </w:rPr>
              <w:t>(2020</w:t>
            </w:r>
            <w:r>
              <w:rPr>
                <w:rFonts w:hint="eastAsia" w:ascii="宋体" w:hAnsi="宋体" w:cs="宋体"/>
                <w:color w:val="000000"/>
                <w:kern w:val="0"/>
                <w:sz w:val="36"/>
                <w:szCs w:val="36"/>
                <w:highlight w:val="none"/>
              </w:rPr>
              <w:t>年度</w:t>
            </w:r>
            <w:r>
              <w:rPr>
                <w:rFonts w:ascii="宋体" w:hAnsi="宋体" w:cs="宋体"/>
                <w:color w:val="000000"/>
                <w:kern w:val="0"/>
                <w:sz w:val="36"/>
                <w:szCs w:val="36"/>
                <w:highlight w:val="none"/>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ascii="宋体" w:cs="宋体"/>
                <w:color w:val="000000"/>
                <w:sz w:val="24"/>
                <w:highlight w:val="none"/>
              </w:rPr>
              <w:t>监察体制改革</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区纪委</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预算执行情况</w:t>
            </w:r>
            <w:r>
              <w:rPr>
                <w:rFonts w:ascii="宋体" w:hAnsi="宋体" w:cs="宋体"/>
                <w:color w:val="000000"/>
                <w:kern w:val="0"/>
                <w:sz w:val="24"/>
                <w:highlight w:val="none"/>
              </w:rPr>
              <w:t>(</w:t>
            </w:r>
            <w:r>
              <w:rPr>
                <w:rFonts w:hint="eastAsia" w:ascii="宋体" w:hAnsi="宋体" w:cs="宋体"/>
                <w:color w:val="000000"/>
                <w:kern w:val="0"/>
                <w:sz w:val="24"/>
                <w:highlight w:val="none"/>
              </w:rPr>
              <w:t>万元</w:t>
            </w:r>
            <w:r>
              <w:rPr>
                <w:rFonts w:ascii="宋体" w:hAnsi="宋体" w:cs="宋体"/>
                <w:color w:val="000000"/>
                <w:kern w:val="0"/>
                <w:sz w:val="24"/>
                <w:highlight w:val="none"/>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34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执行数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10.12</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34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10.12</w:t>
            </w:r>
          </w:p>
        </w:tc>
      </w:tr>
      <w:tr>
        <w:tblPrEx>
          <w:tblCellMar>
            <w:top w:w="0" w:type="dxa"/>
            <w:left w:w="0" w:type="dxa"/>
            <w:bottom w:w="0" w:type="dxa"/>
            <w:right w:w="0" w:type="dxa"/>
          </w:tblCellMar>
        </w:tblPrEx>
        <w:trPr>
          <w:trHeight w:val="134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完成上级部署的监察体制改革进度</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一体推进党的纪律检查体制改革、国家监察体制改革、纪检监察机构改革，强化镇（街）纪检监察组织标准化、规范化建设，完成派驻纪检监察机构编制划转和启用工作，持续优化纪检监察组织人员结构。</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sz w:val="24"/>
                <w:highlight w:val="none"/>
              </w:rPr>
              <w:t>绩效指标完成情况</w:t>
            </w: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r>
      <w:tr>
        <w:tblPrEx>
          <w:tblCellMar>
            <w:top w:w="0" w:type="dxa"/>
            <w:left w:w="0" w:type="dxa"/>
            <w:bottom w:w="0" w:type="dxa"/>
            <w:right w:w="0" w:type="dxa"/>
          </w:tblCellMar>
        </w:tblPrEx>
        <w:trPr>
          <w:trHeight w:val="953"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开展监督执纪、追责问责</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完成上级部署的监察体制改革进度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完成上级部署的监察体制改革进度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完成上级部署的监察体制改革进度</w:t>
            </w:r>
          </w:p>
        </w:tc>
      </w:tr>
      <w:tr>
        <w:tblPrEx>
          <w:tblCellMar>
            <w:top w:w="0" w:type="dxa"/>
            <w:left w:w="0" w:type="dxa"/>
            <w:bottom w:w="0" w:type="dxa"/>
            <w:right w:w="0" w:type="dxa"/>
          </w:tblCellMar>
        </w:tblPrEx>
        <w:trPr>
          <w:trHeight w:val="1297"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本年监察体制改革任务完成度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年底前已完成</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时效指标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100%</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highlight w:val="none"/>
              </w:rPr>
            </w:pPr>
            <w:r>
              <w:rPr>
                <w:rFonts w:hint="eastAsia" w:ascii="宋体" w:hAnsi="宋体" w:cs="宋体"/>
                <w:color w:val="000000"/>
                <w:kern w:val="0"/>
                <w:sz w:val="24"/>
                <w:highlight w:val="none"/>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大等于90%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90%</w:t>
            </w:r>
          </w:p>
        </w:tc>
      </w:tr>
    </w:tbl>
    <w:p>
      <w:pPr>
        <w:spacing w:line="580" w:lineRule="exact"/>
        <w:ind w:left="630"/>
        <w:rPr>
          <w:rFonts w:ascii="楷体_GB2312" w:hAnsi="楷体_GB2312" w:eastAsia="楷体_GB2312" w:cs="楷体_GB2312"/>
          <w:szCs w:val="32"/>
          <w:highlight w:val="none"/>
        </w:rPr>
      </w:pPr>
    </w:p>
    <w:p>
      <w:pPr>
        <w:spacing w:line="580" w:lineRule="exact"/>
        <w:ind w:left="630"/>
        <w:rPr>
          <w:rFonts w:ascii="楷体_GB2312" w:hAnsi="楷体_GB2312" w:eastAsia="楷体_GB2312" w:cs="楷体_GB2312"/>
          <w:szCs w:val="32"/>
          <w:highlight w:val="none"/>
        </w:rPr>
      </w:pPr>
    </w:p>
    <w:tbl>
      <w:tblPr>
        <w:tblStyle w:val="15"/>
        <w:tblpPr w:leftFromText="180" w:rightFromText="180" w:vertAnchor="text" w:horzAnchor="page" w:tblpXSpec="center" w:tblpY="307"/>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cs="宋体"/>
                <w:color w:val="000000"/>
                <w:sz w:val="36"/>
                <w:szCs w:val="36"/>
                <w:highlight w:val="none"/>
              </w:rPr>
            </w:pPr>
            <w:r>
              <w:rPr>
                <w:rFonts w:hint="eastAsia" w:ascii="宋体" w:hAnsi="宋体" w:cs="宋体"/>
                <w:b/>
                <w:bCs/>
                <w:color w:val="000000"/>
                <w:kern w:val="0"/>
                <w:sz w:val="36"/>
                <w:szCs w:val="36"/>
                <w:highlight w:val="none"/>
              </w:rPr>
              <w:t>项目绩效目标完成情况表</w:t>
            </w:r>
            <w:r>
              <w:rPr>
                <w:rFonts w:ascii="宋体" w:cs="宋体"/>
                <w:b/>
                <w:bCs/>
                <w:color w:val="000000"/>
                <w:kern w:val="0"/>
                <w:sz w:val="36"/>
                <w:szCs w:val="36"/>
                <w:highlight w:val="none"/>
              </w:rPr>
              <w:br w:type="textWrapping"/>
            </w:r>
            <w:r>
              <w:rPr>
                <w:rFonts w:ascii="宋体" w:hAnsi="宋体" w:cs="宋体"/>
                <w:color w:val="000000"/>
                <w:kern w:val="0"/>
                <w:sz w:val="36"/>
                <w:szCs w:val="36"/>
                <w:highlight w:val="none"/>
              </w:rPr>
              <w:t>(2020</w:t>
            </w:r>
            <w:r>
              <w:rPr>
                <w:rFonts w:hint="eastAsia" w:ascii="宋体" w:hAnsi="宋体" w:cs="宋体"/>
                <w:color w:val="000000"/>
                <w:kern w:val="0"/>
                <w:sz w:val="36"/>
                <w:szCs w:val="36"/>
                <w:highlight w:val="none"/>
              </w:rPr>
              <w:t>年度</w:t>
            </w:r>
            <w:r>
              <w:rPr>
                <w:rFonts w:ascii="宋体" w:hAnsi="宋体" w:cs="宋体"/>
                <w:color w:val="000000"/>
                <w:kern w:val="0"/>
                <w:sz w:val="36"/>
                <w:szCs w:val="36"/>
                <w:highlight w:val="none"/>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ascii="宋体" w:cs="宋体"/>
                <w:color w:val="000000"/>
                <w:sz w:val="24"/>
                <w:highlight w:val="none"/>
              </w:rPr>
              <w:t>廉政教育宣传费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区纪委</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预算执行情况</w:t>
            </w:r>
            <w:r>
              <w:rPr>
                <w:rFonts w:ascii="宋体" w:hAnsi="宋体" w:cs="宋体"/>
                <w:color w:val="000000"/>
                <w:kern w:val="0"/>
                <w:sz w:val="24"/>
                <w:highlight w:val="none"/>
              </w:rPr>
              <w:t>(</w:t>
            </w:r>
            <w:r>
              <w:rPr>
                <w:rFonts w:hint="eastAsia" w:ascii="宋体" w:hAnsi="宋体" w:cs="宋体"/>
                <w:color w:val="000000"/>
                <w:kern w:val="0"/>
                <w:sz w:val="24"/>
                <w:highlight w:val="none"/>
              </w:rPr>
              <w:t>万元</w:t>
            </w:r>
            <w:r>
              <w:rPr>
                <w:rFonts w:ascii="宋体" w:hAnsi="宋体" w:cs="宋体"/>
                <w:color w:val="000000"/>
                <w:kern w:val="0"/>
                <w:sz w:val="24"/>
                <w:highlight w:val="none"/>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8.5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执行数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5.5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8.5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5.5</w:t>
            </w:r>
          </w:p>
        </w:tc>
      </w:tr>
      <w:tr>
        <w:tblPrEx>
          <w:tblCellMar>
            <w:top w:w="0" w:type="dxa"/>
            <w:left w:w="0" w:type="dxa"/>
            <w:bottom w:w="0" w:type="dxa"/>
            <w:right w:w="0" w:type="dxa"/>
          </w:tblCellMar>
        </w:tblPrEx>
        <w:trPr>
          <w:trHeight w:val="134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常态开展党风廉政宣传和警示教育</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exact"/>
              <w:jc w:val="center"/>
              <w:textAlignment w:val="center"/>
              <w:rPr>
                <w:rFonts w:ascii="宋体" w:cs="宋体"/>
                <w:color w:val="000000"/>
                <w:sz w:val="24"/>
                <w:highlight w:val="none"/>
              </w:rPr>
            </w:pPr>
            <w:r>
              <w:rPr>
                <w:rFonts w:hint="eastAsia" w:ascii="宋体" w:cs="宋体"/>
                <w:color w:val="000000"/>
                <w:sz w:val="21"/>
                <w:szCs w:val="21"/>
                <w:highlight w:val="none"/>
              </w:rPr>
              <w:t>一是打造警示教育基地。根据纪检监察工作规范化建设要求，指导舒坪街道建成自流井区基层党员干部警示教育基地，并组织全区1800余名党员干部分批赴基地参观学习。二是组织开展学习警示。组织县级领导干部学习《忏悔录》，组织全区各单位科级以上领导干部观看警示教育片《越界》、主要负责人学习《自贡市警示教育读本》并征集读后感悟，组织全区村（社区）干部学习《自贡市村（社区）干部违纪违法典型案例读本》；拍摄警示教育片《反腐肃纪扬清风》，除在区纪委全会上播放外，组织全区党员干部观看并开展学习讨论；配合市纪委做好《盐都问政》（自流井区专场）拍摄制作工作。</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sz w:val="24"/>
                <w:highlight w:val="none"/>
              </w:rPr>
              <w:t>绩效指标完成情况</w:t>
            </w: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r>
      <w:tr>
        <w:tblPrEx>
          <w:tblCellMar>
            <w:top w:w="0" w:type="dxa"/>
            <w:left w:w="0" w:type="dxa"/>
            <w:bottom w:w="0" w:type="dxa"/>
            <w:right w:w="0" w:type="dxa"/>
          </w:tblCellMar>
        </w:tblPrEx>
        <w:trPr>
          <w:trHeight w:val="953"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总体指标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常态开展党风廉政宣传和警示教育</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常态开展党风廉政宣传和警示教育，增强广大党员干部廉洁自律意识，拒腐防变能力</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常态开展党风廉政宣传和警示教育，增强广大党员干部廉洁自律意识，拒腐防变能力</w:t>
            </w:r>
          </w:p>
        </w:tc>
      </w:tr>
      <w:tr>
        <w:tblPrEx>
          <w:tblCellMar>
            <w:top w:w="0" w:type="dxa"/>
            <w:left w:w="0" w:type="dxa"/>
            <w:bottom w:w="0" w:type="dxa"/>
            <w:right w:w="0" w:type="dxa"/>
          </w:tblCellMar>
        </w:tblPrEx>
        <w:trPr>
          <w:trHeight w:val="1297"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拍摄警示教育片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大等于1</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大等于1</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时效指标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ascii="宋体" w:cs="宋体"/>
                <w:color w:val="000000"/>
                <w:sz w:val="24"/>
                <w:highlight w:val="none"/>
              </w:rPr>
              <w:t>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100%</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highlight w:val="none"/>
              </w:rPr>
            </w:pPr>
            <w:r>
              <w:rPr>
                <w:rFonts w:hint="eastAsia" w:ascii="宋体" w:hAnsi="宋体" w:cs="宋体"/>
                <w:color w:val="000000"/>
                <w:kern w:val="0"/>
                <w:sz w:val="24"/>
                <w:highlight w:val="none"/>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大等于80%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90%</w:t>
            </w:r>
          </w:p>
        </w:tc>
      </w:tr>
    </w:tbl>
    <w:p>
      <w:pPr>
        <w:spacing w:line="580" w:lineRule="exact"/>
        <w:ind w:firstLine="640" w:firstLineChars="200"/>
        <w:rPr>
          <w:rFonts w:ascii="仿宋_GB2312" w:hAnsi="仿宋_GB2312" w:cs="仿宋_GB2312"/>
          <w:szCs w:val="32"/>
          <w:highlight w:val="none"/>
        </w:rPr>
      </w:pPr>
      <w:r>
        <w:rPr>
          <w:rFonts w:ascii="楷体_GB2312" w:hAnsi="楷体_GB2312" w:eastAsia="楷体_GB2312" w:cs="楷体_GB2312"/>
          <w:szCs w:val="32"/>
          <w:highlight w:val="none"/>
        </w:rPr>
        <w:t>2.</w:t>
      </w:r>
      <w:r>
        <w:rPr>
          <w:rFonts w:hint="eastAsia" w:ascii="楷体_GB2312" w:hAnsi="楷体_GB2312" w:eastAsia="楷体_GB2312" w:cs="楷体_GB2312"/>
          <w:szCs w:val="32"/>
          <w:highlight w:val="none"/>
        </w:rPr>
        <w:t>部门绩效评价结果。</w:t>
      </w:r>
    </w:p>
    <w:p>
      <w:pPr>
        <w:spacing w:line="580" w:lineRule="exact"/>
        <w:ind w:firstLine="640" w:firstLineChars="200"/>
        <w:rPr>
          <w:rFonts w:ascii="仿宋_GB2312" w:hAnsi="仿宋_GB2312" w:cs="仿宋_GB2312"/>
          <w:szCs w:val="32"/>
          <w:highlight w:val="none"/>
        </w:rPr>
      </w:pPr>
      <w:r>
        <w:rPr>
          <w:rFonts w:hint="eastAsia" w:ascii="仿宋_GB2312" w:hAnsi="仿宋_GB2312" w:cs="仿宋_GB2312"/>
          <w:szCs w:val="32"/>
          <w:highlight w:val="none"/>
        </w:rPr>
        <w:t>本部门按要求对</w:t>
      </w:r>
      <w:r>
        <w:rPr>
          <w:rFonts w:ascii="仿宋_GB2312" w:hAnsi="仿宋_GB2312" w:cs="仿宋_GB2312"/>
          <w:szCs w:val="32"/>
          <w:highlight w:val="none"/>
        </w:rPr>
        <w:t>2020</w:t>
      </w:r>
      <w:r>
        <w:rPr>
          <w:rFonts w:hint="eastAsia" w:ascii="仿宋_GB2312" w:hAnsi="仿宋_GB2312" w:cs="仿宋_GB2312"/>
          <w:szCs w:val="32"/>
          <w:highlight w:val="none"/>
        </w:rPr>
        <w:t>年部门整体支出绩效评价情况开展自评，《中共自流井区纪委</w:t>
      </w:r>
      <w:r>
        <w:rPr>
          <w:rFonts w:ascii="仿宋_GB2312" w:hAnsi="仿宋_GB2312" w:cs="仿宋_GB2312"/>
          <w:szCs w:val="32"/>
          <w:highlight w:val="none"/>
        </w:rPr>
        <w:t>2020</w:t>
      </w:r>
      <w:r>
        <w:rPr>
          <w:rFonts w:hint="eastAsia" w:ascii="仿宋_GB2312" w:hAnsi="仿宋_GB2312" w:cs="仿宋_GB2312"/>
          <w:szCs w:val="32"/>
          <w:highlight w:val="none"/>
        </w:rPr>
        <w:t>年部门整体支出绩效评价报告》见附件（附件</w:t>
      </w:r>
      <w:r>
        <w:rPr>
          <w:rFonts w:ascii="仿宋_GB2312" w:hAnsi="仿宋_GB2312" w:cs="仿宋_GB2312"/>
          <w:szCs w:val="32"/>
          <w:highlight w:val="none"/>
        </w:rPr>
        <w:t>1</w:t>
      </w:r>
      <w:r>
        <w:rPr>
          <w:rFonts w:hint="eastAsia" w:ascii="仿宋_GB2312" w:hAnsi="仿宋_GB2312" w:cs="仿宋_GB2312"/>
          <w:szCs w:val="32"/>
          <w:highlight w:val="none"/>
        </w:rPr>
        <w:t>）。</w:t>
      </w:r>
    </w:p>
    <w:p>
      <w:pPr>
        <w:spacing w:line="580" w:lineRule="exact"/>
        <w:ind w:firstLine="640" w:firstLineChars="200"/>
        <w:rPr>
          <w:rFonts w:ascii="仿宋_GB2312"/>
          <w:b/>
          <w:color w:val="000000"/>
          <w:szCs w:val="32"/>
          <w:highlight w:val="none"/>
        </w:rPr>
      </w:pPr>
      <w:r>
        <w:rPr>
          <w:rFonts w:hint="eastAsia" w:ascii="仿宋_GB2312" w:hAnsi="仿宋_GB2312" w:cs="仿宋_GB2312"/>
          <w:szCs w:val="32"/>
          <w:highlight w:val="none"/>
        </w:rPr>
        <w:t>本部门自行组织对“清风问政</w:t>
      </w:r>
      <w:r>
        <w:rPr>
          <w:rFonts w:ascii="仿宋_GB2312" w:hAnsi="仿宋_GB2312" w:cs="仿宋_GB2312"/>
          <w:szCs w:val="32"/>
          <w:highlight w:val="none"/>
        </w:rPr>
        <w:t>””</w:t>
      </w:r>
      <w:r>
        <w:rPr>
          <w:rFonts w:hint="eastAsia" w:ascii="仿宋_GB2312" w:hAnsi="仿宋_GB2312" w:cs="仿宋_GB2312"/>
          <w:szCs w:val="32"/>
          <w:highlight w:val="none"/>
        </w:rPr>
        <w:t>纪检审查</w:t>
      </w:r>
      <w:r>
        <w:rPr>
          <w:rFonts w:ascii="仿宋_GB2312" w:hAnsi="仿宋_GB2312" w:cs="仿宋_GB2312"/>
          <w:szCs w:val="32"/>
          <w:highlight w:val="none"/>
        </w:rPr>
        <w:t>”</w:t>
      </w:r>
      <w:r>
        <w:rPr>
          <w:rFonts w:hint="eastAsia" w:ascii="仿宋_GB2312" w:hAnsi="仿宋_GB2312" w:cs="仿宋_GB2312"/>
          <w:szCs w:val="32"/>
          <w:highlight w:val="none"/>
        </w:rPr>
        <w:t>“党风廉政刊物征订费”“监察体制改革”“廉政教育宣传费”项目开展了绩效评价，《“清风问政</w:t>
      </w:r>
      <w:r>
        <w:rPr>
          <w:rFonts w:ascii="仿宋_GB2312" w:hAnsi="仿宋_GB2312" w:cs="仿宋_GB2312"/>
          <w:szCs w:val="32"/>
          <w:highlight w:val="none"/>
        </w:rPr>
        <w:t>””</w:t>
      </w:r>
      <w:r>
        <w:rPr>
          <w:rFonts w:hint="eastAsia" w:ascii="仿宋_GB2312" w:hAnsi="仿宋_GB2312" w:cs="仿宋_GB2312"/>
          <w:szCs w:val="32"/>
          <w:highlight w:val="none"/>
        </w:rPr>
        <w:t>纪检审查</w:t>
      </w:r>
      <w:r>
        <w:rPr>
          <w:rFonts w:ascii="仿宋_GB2312" w:hAnsi="仿宋_GB2312" w:cs="仿宋_GB2312"/>
          <w:szCs w:val="32"/>
          <w:highlight w:val="none"/>
        </w:rPr>
        <w:t>”</w:t>
      </w:r>
      <w:r>
        <w:rPr>
          <w:rFonts w:hint="eastAsia" w:ascii="仿宋_GB2312" w:hAnsi="仿宋_GB2312" w:cs="仿宋_GB2312"/>
          <w:szCs w:val="32"/>
          <w:highlight w:val="none"/>
        </w:rPr>
        <w:t>“党风廉政刊物征订费”“监察体制改革”“廉政教育宣传费”项目</w:t>
      </w:r>
      <w:r>
        <w:rPr>
          <w:rFonts w:ascii="仿宋_GB2312" w:hAnsi="仿宋_GB2312" w:cs="仿宋_GB2312"/>
          <w:szCs w:val="32"/>
          <w:highlight w:val="none"/>
        </w:rPr>
        <w:t>2020</w:t>
      </w:r>
      <w:r>
        <w:rPr>
          <w:rFonts w:hint="eastAsia" w:ascii="仿宋_GB2312" w:hAnsi="仿宋_GB2312" w:cs="仿宋_GB2312"/>
          <w:szCs w:val="32"/>
          <w:highlight w:val="none"/>
        </w:rPr>
        <w:t>年绩效评价报告》见附件（附件</w:t>
      </w:r>
      <w:r>
        <w:rPr>
          <w:rFonts w:ascii="仿宋_GB2312" w:hAnsi="仿宋_GB2312" w:cs="仿宋_GB2312"/>
          <w:szCs w:val="32"/>
          <w:highlight w:val="none"/>
        </w:rPr>
        <w:t>2</w:t>
      </w:r>
      <w:r>
        <w:rPr>
          <w:rFonts w:hint="eastAsia" w:ascii="仿宋_GB2312" w:hAnsi="仿宋_GB2312" w:cs="仿宋_GB2312"/>
          <w:szCs w:val="32"/>
          <w:highlight w:val="none"/>
        </w:rPr>
        <w:t>）。</w:t>
      </w:r>
    </w:p>
    <w:p>
      <w:pPr>
        <w:widowControl/>
        <w:jc w:val="left"/>
        <w:rPr>
          <w:rFonts w:ascii="仿宋_GB2312"/>
          <w:b/>
          <w:color w:val="000000"/>
          <w:szCs w:val="32"/>
          <w:highlight w:val="none"/>
        </w:rPr>
      </w:pPr>
      <w:r>
        <w:rPr>
          <w:rFonts w:ascii="仿宋_GB2312"/>
          <w:b/>
          <w:color w:val="000000"/>
          <w:szCs w:val="32"/>
          <w:highlight w:val="none"/>
        </w:rPr>
        <w:br w:type="page"/>
      </w:r>
    </w:p>
    <w:p>
      <w:pPr>
        <w:numPr>
          <w:ilvl w:val="0"/>
          <w:numId w:val="5"/>
        </w:numPr>
        <w:spacing w:line="600" w:lineRule="exact"/>
        <w:ind w:firstLine="660" w:firstLineChars="150"/>
        <w:jc w:val="center"/>
        <w:outlineLvl w:val="0"/>
        <w:rPr>
          <w:rStyle w:val="20"/>
          <w:rFonts w:ascii="黑体" w:hAnsi="黑体" w:eastAsia="黑体"/>
          <w:b w:val="0"/>
          <w:highlight w:val="none"/>
        </w:rPr>
      </w:pPr>
      <w:bookmarkStart w:id="55" w:name="_Toc15377225"/>
      <w:bookmarkStart w:id="56" w:name="_Toc15396613"/>
      <w:bookmarkStart w:id="57" w:name="_Toc3536"/>
      <w:r>
        <w:rPr>
          <w:rFonts w:hint="eastAsia" w:ascii="黑体" w:hAnsi="黑体" w:eastAsia="黑体"/>
          <w:color w:val="000000"/>
          <w:sz w:val="44"/>
          <w:szCs w:val="44"/>
          <w:highlight w:val="none"/>
        </w:rPr>
        <w:t>名</w:t>
      </w:r>
      <w:r>
        <w:rPr>
          <w:rStyle w:val="20"/>
          <w:rFonts w:hint="eastAsia" w:ascii="黑体" w:hAnsi="黑体" w:eastAsia="黑体"/>
          <w:b w:val="0"/>
          <w:highlight w:val="none"/>
        </w:rPr>
        <w:t>词解释</w:t>
      </w:r>
      <w:bookmarkEnd w:id="55"/>
      <w:bookmarkEnd w:id="56"/>
      <w:bookmarkEnd w:id="57"/>
    </w:p>
    <w:p>
      <w:pPr>
        <w:spacing w:line="600" w:lineRule="exact"/>
        <w:jc w:val="left"/>
        <w:rPr>
          <w:rFonts w:ascii="宋体"/>
          <w:b/>
          <w:color w:val="000000"/>
          <w:sz w:val="44"/>
          <w:szCs w:val="44"/>
          <w:highlight w:val="none"/>
        </w:rPr>
      </w:pP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财政拨款收入：指单位从同级财政部门取得的财政预算资金。</w:t>
      </w: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事业收入：指事业单位开展专业业务活动及辅助活动取得的收入。</w:t>
      </w: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3.</w:t>
      </w:r>
      <w:r>
        <w:rPr>
          <w:rFonts w:hint="eastAsia" w:ascii="仿宋_GB2312" w:eastAsia="仿宋_GB2312"/>
          <w:sz w:val="32"/>
          <w:szCs w:val="32"/>
          <w:highlight w:val="none"/>
        </w:rPr>
        <w:t>经营收入：指事业单位在专业业务活动及其辅助活动之外开展非独立核算经营活动取得的收入。</w:t>
      </w: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4.</w:t>
      </w:r>
      <w:r>
        <w:rPr>
          <w:rFonts w:hint="eastAsia" w:ascii="仿宋_GB2312" w:eastAsia="仿宋_GB2312"/>
          <w:sz w:val="32"/>
          <w:szCs w:val="32"/>
          <w:highlight w:val="none"/>
        </w:rPr>
        <w:t>其他收入：指单位取得的除上述收入以外的各项收入。</w:t>
      </w: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5.</w:t>
      </w:r>
      <w:r>
        <w:rPr>
          <w:rFonts w:hint="eastAsia" w:ascii="仿宋_GB2312" w:eastAsia="仿宋_GB2312"/>
          <w:sz w:val="32"/>
          <w:szCs w:val="32"/>
          <w:highlight w:val="none"/>
        </w:rPr>
        <w:t>使用非财政拨款结余：指事业单位使用以前年度积累的非财政拨款结余弥补当年收支差额的金额。</w:t>
      </w: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6.</w:t>
      </w:r>
      <w:r>
        <w:rPr>
          <w:rFonts w:hint="eastAsia" w:ascii="仿宋_GB2312" w:eastAsia="仿宋_GB2312"/>
          <w:sz w:val="32"/>
          <w:szCs w:val="32"/>
          <w:highlight w:val="none"/>
        </w:rPr>
        <w:t>年初结转和结余：指以前年度尚未完成、结转到本年按有关规定继续使用的资金。</w:t>
      </w: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7.</w:t>
      </w:r>
      <w:r>
        <w:rPr>
          <w:rFonts w:hint="eastAsia" w:ascii="仿宋_GB2312" w:eastAsia="仿宋_GB2312"/>
          <w:sz w:val="32"/>
          <w:szCs w:val="32"/>
          <w:highlight w:val="none"/>
        </w:rPr>
        <w:t>结余分配：指事业单位按照会计制度规定缴纳的所得税、提取的专用结余以及转入非财政拨款结余的金额等。</w:t>
      </w: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8</w:t>
      </w:r>
      <w:r>
        <w:rPr>
          <w:rFonts w:hint="eastAsia" w:ascii="仿宋_GB2312" w:eastAsia="仿宋_GB2312"/>
          <w:sz w:val="32"/>
          <w:szCs w:val="32"/>
          <w:highlight w:val="none"/>
        </w:rPr>
        <w:t>、年末结转和结余：指单位按有关规定结转到下年或以后年度继续使用的资金。</w:t>
      </w:r>
    </w:p>
    <w:p>
      <w:pPr>
        <w:spacing w:line="620" w:lineRule="exact"/>
        <w:ind w:firstLine="660"/>
        <w:rPr>
          <w:rFonts w:ascii="仿宋_GB2312"/>
          <w:color w:val="000000"/>
          <w:szCs w:val="32"/>
          <w:highlight w:val="none"/>
        </w:rPr>
      </w:pPr>
      <w:r>
        <w:rPr>
          <w:rFonts w:ascii="仿宋_GB2312"/>
          <w:color w:val="000000"/>
          <w:szCs w:val="32"/>
          <w:highlight w:val="none"/>
        </w:rPr>
        <w:t>9.</w:t>
      </w:r>
      <w:r>
        <w:rPr>
          <w:rFonts w:hint="eastAsia" w:ascii="仿宋_GB2312"/>
          <w:color w:val="000000"/>
          <w:szCs w:val="32"/>
          <w:highlight w:val="none"/>
        </w:rPr>
        <w:t>一般公共服务支出（类）纪检监察事务（款）行政运行（项）：指中共自贡市自流井区纪律检查委员会用于保障机构正常运行、开展日常工作的基本支出。</w:t>
      </w:r>
    </w:p>
    <w:p>
      <w:pPr>
        <w:spacing w:line="620" w:lineRule="exact"/>
        <w:ind w:firstLine="660"/>
        <w:rPr>
          <w:rFonts w:ascii="仿宋_GB2312"/>
          <w:color w:val="000000"/>
          <w:szCs w:val="32"/>
          <w:highlight w:val="none"/>
        </w:rPr>
      </w:pPr>
      <w:r>
        <w:rPr>
          <w:rFonts w:ascii="仿宋_GB2312"/>
          <w:color w:val="000000"/>
          <w:szCs w:val="32"/>
          <w:highlight w:val="none"/>
        </w:rPr>
        <w:t>10.</w:t>
      </w:r>
      <w:r>
        <w:rPr>
          <w:rFonts w:hint="eastAsia" w:ascii="仿宋_GB2312"/>
          <w:color w:val="000000"/>
          <w:szCs w:val="32"/>
          <w:highlight w:val="none"/>
        </w:rPr>
        <w:t>一般公共服务支出（类）纪检监察事务（款）一般行政管理事务（项）：指中共自贡市自流井区纪律检查委员会用于保障项目的支出。</w:t>
      </w:r>
    </w:p>
    <w:p>
      <w:pPr>
        <w:ind w:firstLine="640" w:firstLineChars="200"/>
        <w:rPr>
          <w:rFonts w:ascii="仿宋_GB2312"/>
          <w:color w:val="000000"/>
          <w:szCs w:val="32"/>
          <w:highlight w:val="none"/>
        </w:rPr>
      </w:pPr>
      <w:r>
        <w:rPr>
          <w:rFonts w:ascii="仿宋_GB2312"/>
          <w:color w:val="000000"/>
          <w:szCs w:val="32"/>
          <w:highlight w:val="none"/>
        </w:rPr>
        <w:t>11.</w:t>
      </w:r>
      <w:r>
        <w:rPr>
          <w:rFonts w:hint="eastAsia" w:ascii="仿宋_GB2312"/>
          <w:color w:val="000000"/>
          <w:szCs w:val="32"/>
          <w:highlight w:val="none"/>
        </w:rPr>
        <w:t>社会保障和就业支出（类）行政事业单位养老支出（款）行政单位离退休（项）：指本单位离退休人员的支出。</w:t>
      </w:r>
    </w:p>
    <w:p>
      <w:pPr>
        <w:spacing w:line="620" w:lineRule="exact"/>
        <w:ind w:firstLine="660"/>
        <w:rPr>
          <w:rFonts w:ascii="仿宋_GB2312"/>
          <w:color w:val="000000"/>
          <w:szCs w:val="32"/>
          <w:highlight w:val="none"/>
        </w:rPr>
      </w:pPr>
      <w:r>
        <w:rPr>
          <w:rFonts w:ascii="仿宋_GB2312"/>
          <w:color w:val="000000"/>
          <w:szCs w:val="32"/>
          <w:highlight w:val="none"/>
        </w:rPr>
        <w:t>12.</w:t>
      </w:r>
      <w:r>
        <w:rPr>
          <w:rFonts w:hint="eastAsia" w:ascii="仿宋_GB2312"/>
          <w:color w:val="000000"/>
          <w:szCs w:val="32"/>
          <w:highlight w:val="none"/>
        </w:rPr>
        <w:t>社会保障和就业支出（类）行政事业单位养老支出（款）机关事业单位基本养老保险缴费支出（项）：指部门实施养老保险制度由单位缴纳的养老保险费的支出。</w:t>
      </w:r>
    </w:p>
    <w:p>
      <w:pPr>
        <w:ind w:firstLine="640" w:firstLineChars="200"/>
        <w:rPr>
          <w:rFonts w:ascii="仿宋_GB2312"/>
          <w:color w:val="000000"/>
          <w:szCs w:val="32"/>
          <w:highlight w:val="none"/>
        </w:rPr>
      </w:pPr>
      <w:r>
        <w:rPr>
          <w:rFonts w:ascii="仿宋_GB2312"/>
          <w:color w:val="000000"/>
          <w:szCs w:val="32"/>
          <w:highlight w:val="none"/>
        </w:rPr>
        <w:t>13.</w:t>
      </w:r>
      <w:r>
        <w:rPr>
          <w:rFonts w:hint="eastAsia" w:ascii="仿宋_GB2312"/>
          <w:color w:val="000000"/>
          <w:szCs w:val="32"/>
          <w:highlight w:val="none"/>
        </w:rPr>
        <w:t>社会保障和就业支出（类）行政事业单位养老支出（款）其他社会保障和就业支出（项）：指用于保障事业人员的工伤、生育等保险缴费。</w:t>
      </w:r>
    </w:p>
    <w:p>
      <w:pPr>
        <w:spacing w:line="620" w:lineRule="exact"/>
        <w:ind w:firstLine="660"/>
        <w:rPr>
          <w:rFonts w:ascii="仿宋_GB2312"/>
          <w:color w:val="000000"/>
          <w:szCs w:val="32"/>
          <w:highlight w:val="none"/>
        </w:rPr>
      </w:pPr>
      <w:r>
        <w:rPr>
          <w:rFonts w:ascii="仿宋_GB2312"/>
          <w:color w:val="000000"/>
          <w:szCs w:val="32"/>
          <w:highlight w:val="none"/>
        </w:rPr>
        <w:t>14.</w:t>
      </w:r>
      <w:r>
        <w:rPr>
          <w:rFonts w:hint="eastAsia" w:ascii="仿宋_GB2312"/>
          <w:color w:val="000000"/>
          <w:szCs w:val="32"/>
          <w:highlight w:val="none"/>
        </w:rPr>
        <w:t>卫生健康支出（类）行政事业单位医疗（款）行政单位医疗（项）：指机关单位用于缴纳单位基本医疗保险支出。</w:t>
      </w:r>
      <w:r>
        <w:rPr>
          <w:rFonts w:hint="eastAsia" w:ascii="仿宋_GB2312"/>
          <w:color w:val="000000"/>
          <w:szCs w:val="32"/>
          <w:highlight w:val="none"/>
        </w:rPr>
        <w:br w:type="textWrapping"/>
      </w:r>
      <w:r>
        <w:rPr>
          <w:rFonts w:hint="eastAsia" w:ascii="仿宋_GB2312"/>
          <w:color w:val="000000"/>
          <w:szCs w:val="32"/>
          <w:highlight w:val="none"/>
          <w:lang w:val="en-US" w:eastAsia="zh-CN"/>
        </w:rPr>
        <w:t xml:space="preserve">    </w:t>
      </w:r>
      <w:r>
        <w:rPr>
          <w:rFonts w:ascii="仿宋_GB2312"/>
          <w:color w:val="000000"/>
          <w:szCs w:val="32"/>
          <w:highlight w:val="none"/>
        </w:rPr>
        <w:t>15.</w:t>
      </w:r>
      <w:r>
        <w:rPr>
          <w:rFonts w:hint="eastAsia" w:ascii="仿宋_GB2312"/>
          <w:color w:val="000000"/>
          <w:szCs w:val="32"/>
          <w:highlight w:val="none"/>
        </w:rPr>
        <w:t>住房保障（类）住房改革支出（款）住房公积金（项）：指按照《住房公积金管理条例》的规定，由单位及其在职职工缴存的长期住房储金。</w:t>
      </w:r>
      <w:r>
        <w:rPr>
          <w:rFonts w:hint="eastAsia" w:ascii="仿宋_GB2312"/>
          <w:color w:val="000000"/>
          <w:szCs w:val="32"/>
          <w:highlight w:val="none"/>
        </w:rPr>
        <w:br w:type="textWrapping"/>
      </w:r>
      <w:r>
        <w:rPr>
          <w:rFonts w:hint="eastAsia" w:ascii="仿宋_GB2312"/>
          <w:color w:val="000000"/>
          <w:szCs w:val="32"/>
          <w:highlight w:val="none"/>
          <w:lang w:val="en-US" w:eastAsia="zh-CN"/>
        </w:rPr>
        <w:t xml:space="preserve">    </w:t>
      </w:r>
      <w:r>
        <w:rPr>
          <w:rFonts w:ascii="仿宋_GB2312"/>
          <w:color w:val="000000"/>
          <w:szCs w:val="32"/>
          <w:highlight w:val="none"/>
        </w:rPr>
        <w:t>16.</w:t>
      </w:r>
      <w:r>
        <w:rPr>
          <w:rFonts w:hint="eastAsia" w:ascii="仿宋_GB2312"/>
          <w:color w:val="000000"/>
          <w:szCs w:val="32"/>
          <w:highlight w:val="none"/>
        </w:rPr>
        <w:t>基本支出：指为保证机构正常运转，完成日常工作任务而发生的人员支出和公用支出。</w:t>
      </w:r>
      <w:r>
        <w:rPr>
          <w:rFonts w:hint="eastAsia" w:ascii="仿宋_GB2312"/>
          <w:color w:val="000000"/>
          <w:szCs w:val="32"/>
          <w:highlight w:val="none"/>
        </w:rPr>
        <w:br w:type="textWrapping"/>
      </w:r>
      <w:r>
        <w:rPr>
          <w:rFonts w:hint="eastAsia" w:ascii="仿宋_GB2312"/>
          <w:color w:val="000000"/>
          <w:szCs w:val="32"/>
          <w:highlight w:val="none"/>
        </w:rPr>
        <w:t>　　17.项目支出：指在基本支出之外为完成特定行政任务和事业发展目标所发生的支出。</w:t>
      </w:r>
      <w:r>
        <w:rPr>
          <w:rFonts w:hint="eastAsia" w:ascii="仿宋_GB2312"/>
          <w:color w:val="000000"/>
          <w:szCs w:val="32"/>
          <w:highlight w:val="none"/>
        </w:rPr>
        <w:br w:type="textWrapping"/>
      </w:r>
      <w:r>
        <w:rPr>
          <w:rFonts w:hint="eastAsia" w:ascii="仿宋_GB2312"/>
          <w:color w:val="000000"/>
          <w:szCs w:val="32"/>
          <w:highlight w:val="none"/>
          <w:lang w:val="en-US" w:eastAsia="zh-CN"/>
        </w:rPr>
        <w:t xml:space="preserve">    </w:t>
      </w:r>
      <w:r>
        <w:rPr>
          <w:rFonts w:ascii="仿宋_GB2312"/>
          <w:color w:val="000000"/>
          <w:szCs w:val="32"/>
          <w:highlight w:val="none"/>
        </w:rPr>
        <w:t>18.</w:t>
      </w:r>
      <w:r>
        <w:rPr>
          <w:rFonts w:hint="eastAsia" w:ascii="仿宋_GB2312"/>
          <w:color w:val="000000"/>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19.</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color w:val="000000"/>
          <w:szCs w:val="32"/>
          <w:highlight w:val="none"/>
        </w:rPr>
      </w:pPr>
      <w:r>
        <w:rPr>
          <w:rFonts w:hint="eastAsia" w:ascii="仿宋_GB2312"/>
          <w:color w:val="000000"/>
          <w:szCs w:val="32"/>
          <w:highlight w:val="none"/>
        </w:rPr>
        <w:t>20</w:t>
      </w:r>
      <w:r>
        <w:rPr>
          <w:rFonts w:ascii="仿宋_GB2312"/>
          <w:color w:val="000000"/>
          <w:szCs w:val="32"/>
          <w:highlight w:val="none"/>
        </w:rPr>
        <w:t>.</w:t>
      </w:r>
      <w:r>
        <w:rPr>
          <w:rFonts w:hint="eastAsia" w:ascii="仿宋_GB2312"/>
          <w:color w:val="000000"/>
          <w:szCs w:val="32"/>
          <w:highlight w:val="none"/>
        </w:rPr>
        <w:t>基本支出：指为保障机构正常运转、完成日常工作任务而发生的人员支出和公用支出。</w:t>
      </w:r>
    </w:p>
    <w:p>
      <w:pPr>
        <w:ind w:firstLine="640" w:firstLineChars="200"/>
        <w:rPr>
          <w:rFonts w:ascii="仿宋_GB2312"/>
          <w:color w:val="000000"/>
          <w:szCs w:val="32"/>
          <w:highlight w:val="none"/>
        </w:rPr>
      </w:pPr>
      <w:r>
        <w:rPr>
          <w:rFonts w:ascii="仿宋_GB2312"/>
          <w:color w:val="000000"/>
          <w:szCs w:val="32"/>
          <w:highlight w:val="none"/>
        </w:rPr>
        <w:t>2</w:t>
      </w:r>
      <w:r>
        <w:rPr>
          <w:rFonts w:hint="eastAsia" w:ascii="仿宋_GB2312"/>
          <w:color w:val="000000"/>
          <w:szCs w:val="32"/>
          <w:highlight w:val="none"/>
        </w:rPr>
        <w:t>1</w:t>
      </w:r>
      <w:r>
        <w:rPr>
          <w:rFonts w:ascii="仿宋_GB2312"/>
          <w:color w:val="000000"/>
          <w:szCs w:val="32"/>
          <w:highlight w:val="none"/>
        </w:rPr>
        <w:t>.</w:t>
      </w:r>
      <w:r>
        <w:rPr>
          <w:rFonts w:hint="eastAsia" w:ascii="仿宋_GB2312"/>
          <w:color w:val="000000"/>
          <w:szCs w:val="32"/>
          <w:highlight w:val="none"/>
        </w:rPr>
        <w:t>项目支出：指在基本支出之外为完成特定行政任务和事业发展目标所发生的支出。</w:t>
      </w:r>
    </w:p>
    <w:p>
      <w:pPr>
        <w:ind w:firstLine="640" w:firstLineChars="200"/>
        <w:rPr>
          <w:rFonts w:ascii="仿宋_GB2312"/>
          <w:color w:val="000000"/>
          <w:szCs w:val="32"/>
          <w:highlight w:val="none"/>
        </w:rPr>
      </w:pPr>
      <w:r>
        <w:rPr>
          <w:rFonts w:ascii="仿宋_GB2312"/>
          <w:color w:val="000000"/>
          <w:szCs w:val="32"/>
          <w:highlight w:val="none"/>
        </w:rPr>
        <w:t>2</w:t>
      </w:r>
      <w:r>
        <w:rPr>
          <w:rFonts w:hint="eastAsia" w:ascii="仿宋_GB2312"/>
          <w:color w:val="000000"/>
          <w:szCs w:val="32"/>
          <w:highlight w:val="none"/>
        </w:rPr>
        <w:t>2</w:t>
      </w:r>
      <w:r>
        <w:rPr>
          <w:rFonts w:ascii="仿宋_GB2312"/>
          <w:color w:val="000000"/>
          <w:szCs w:val="32"/>
          <w:highlight w:val="none"/>
        </w:rPr>
        <w:t>.</w:t>
      </w:r>
      <w:r>
        <w:rPr>
          <w:rFonts w:hint="eastAsia" w:ascii="仿宋_GB2312"/>
          <w:color w:val="000000"/>
          <w:szCs w:val="32"/>
          <w:highlight w:val="none"/>
        </w:rPr>
        <w:t>经营支出：指事业单位在专业业务活动及其辅助活动之外开展非独立核算经营活动发生的支出。</w:t>
      </w:r>
    </w:p>
    <w:p>
      <w:pPr>
        <w:pStyle w:val="23"/>
        <w:spacing w:line="560" w:lineRule="exact"/>
        <w:ind w:firstLine="640" w:firstLineChars="200"/>
        <w:rPr>
          <w:rFonts w:ascii="仿宋_GB2312" w:eastAsia="仿宋_GB2312" w:cs="黑体"/>
          <w:sz w:val="32"/>
          <w:szCs w:val="32"/>
          <w:highlight w:val="none"/>
        </w:rPr>
      </w:pPr>
      <w:r>
        <w:rPr>
          <w:rFonts w:ascii="仿宋_GB2312" w:eastAsia="仿宋_GB2312"/>
          <w:sz w:val="32"/>
          <w:szCs w:val="32"/>
          <w:highlight w:val="none"/>
        </w:rPr>
        <w:t>31.</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3" w:firstLineChars="200"/>
        <w:rPr>
          <w:rFonts w:ascii="仿宋" w:hAnsi="仿宋" w:eastAsia="仿宋"/>
          <w:b/>
          <w:color w:val="FF0000"/>
          <w:szCs w:val="32"/>
          <w:highlight w:val="none"/>
        </w:rPr>
      </w:pPr>
    </w:p>
    <w:p>
      <w:pPr>
        <w:spacing w:line="600" w:lineRule="exact"/>
        <w:jc w:val="center"/>
        <w:outlineLvl w:val="0"/>
        <w:rPr>
          <w:rStyle w:val="20"/>
          <w:rFonts w:ascii="黑体" w:hAnsi="黑体" w:eastAsia="黑体"/>
          <w:b w:val="0"/>
          <w:highlight w:val="none"/>
        </w:rPr>
      </w:pPr>
      <w:bookmarkStart w:id="58" w:name="_Toc15396614"/>
      <w:bookmarkStart w:id="59" w:name="_Toc11207"/>
      <w:bookmarkStart w:id="60" w:name="_Toc15377226"/>
      <w:r>
        <w:rPr>
          <w:rFonts w:hint="eastAsia" w:ascii="黑体" w:hAnsi="黑体" w:eastAsia="黑体"/>
          <w:color w:val="000000"/>
          <w:sz w:val="44"/>
          <w:szCs w:val="44"/>
          <w:highlight w:val="none"/>
        </w:rPr>
        <w:t>第</w:t>
      </w:r>
      <w:r>
        <w:rPr>
          <w:rStyle w:val="20"/>
          <w:rFonts w:hint="eastAsia" w:ascii="黑体" w:hAnsi="黑体" w:eastAsia="黑体"/>
          <w:b w:val="0"/>
          <w:highlight w:val="none"/>
        </w:rPr>
        <w:t>四部分附件</w:t>
      </w:r>
      <w:bookmarkEnd w:id="58"/>
      <w:bookmarkEnd w:id="59"/>
    </w:p>
    <w:p>
      <w:pPr>
        <w:spacing w:line="600" w:lineRule="exact"/>
        <w:jc w:val="left"/>
        <w:outlineLvl w:val="1"/>
        <w:rPr>
          <w:rFonts w:ascii="方正小标宋简体" w:hAnsi="方正小标宋简体" w:eastAsia="方正小标宋简体" w:cs="方正小标宋简体"/>
          <w:szCs w:val="32"/>
          <w:highlight w:val="none"/>
        </w:rPr>
      </w:pPr>
      <w:bookmarkStart w:id="61" w:name="_Toc22930"/>
      <w:r>
        <w:rPr>
          <w:rFonts w:hint="eastAsia" w:ascii="黑体" w:hAnsi="黑体" w:eastAsia="黑体" w:cs="黑体"/>
          <w:szCs w:val="32"/>
          <w:highlight w:val="none"/>
        </w:rPr>
        <w:t>附件</w:t>
      </w:r>
      <w:r>
        <w:rPr>
          <w:rFonts w:ascii="黑体" w:hAnsi="黑体" w:eastAsia="黑体" w:cs="黑体"/>
          <w:szCs w:val="32"/>
          <w:highlight w:val="none"/>
        </w:rPr>
        <w:t>1</w:t>
      </w:r>
      <w:bookmarkEnd w:id="61"/>
    </w:p>
    <w:p>
      <w:pPr>
        <w:spacing w:line="580" w:lineRule="exact"/>
        <w:jc w:val="center"/>
        <w:rPr>
          <w:rFonts w:ascii="方正小标宋简体" w:hAnsi="方正小标宋简体" w:eastAsia="方正小标宋简体" w:cs="方正小标宋简体"/>
          <w:sz w:val="44"/>
          <w:szCs w:val="44"/>
          <w:highlight w:val="none"/>
        </w:rPr>
      </w:pPr>
    </w:p>
    <w:p>
      <w:pPr>
        <w:spacing w:line="600" w:lineRule="exact"/>
        <w:jc w:val="center"/>
        <w:rPr>
          <w:rFonts w:ascii="方正小标宋简体" w:hAnsi="宋体" w:eastAsia="方正小标宋简体"/>
          <w:color w:val="000000"/>
          <w:kern w:val="0"/>
          <w:sz w:val="40"/>
          <w:szCs w:val="44"/>
          <w:highlight w:val="none"/>
        </w:rPr>
      </w:pPr>
      <w:r>
        <w:rPr>
          <w:rFonts w:hint="eastAsia" w:ascii="方正小标宋简体" w:hAnsi="宋体" w:eastAsia="方正小标宋简体"/>
          <w:color w:val="000000"/>
          <w:kern w:val="0"/>
          <w:sz w:val="40"/>
          <w:szCs w:val="44"/>
          <w:highlight w:val="none"/>
        </w:rPr>
        <w:t>中共自流井区纪委</w:t>
      </w:r>
    </w:p>
    <w:p>
      <w:pPr>
        <w:spacing w:line="600" w:lineRule="exact"/>
        <w:jc w:val="center"/>
        <w:rPr>
          <w:rFonts w:ascii="方正小标宋简体" w:hAnsi="宋体" w:eastAsia="方正小标宋简体"/>
          <w:color w:val="000000"/>
          <w:kern w:val="0"/>
          <w:sz w:val="40"/>
          <w:szCs w:val="44"/>
          <w:highlight w:val="none"/>
          <w:lang w:val="zh-CN"/>
        </w:rPr>
      </w:pPr>
      <w:r>
        <w:rPr>
          <w:rFonts w:ascii="方正小标宋简体" w:hAnsi="宋体" w:eastAsia="方正小标宋简体"/>
          <w:color w:val="000000"/>
          <w:kern w:val="0"/>
          <w:sz w:val="40"/>
          <w:szCs w:val="44"/>
          <w:highlight w:val="none"/>
        </w:rPr>
        <w:t>2020</w:t>
      </w:r>
      <w:r>
        <w:rPr>
          <w:rFonts w:hint="eastAsia" w:ascii="方正小标宋简体" w:hAnsi="宋体" w:eastAsia="方正小标宋简体"/>
          <w:color w:val="000000"/>
          <w:kern w:val="0"/>
          <w:sz w:val="40"/>
          <w:szCs w:val="44"/>
          <w:highlight w:val="none"/>
        </w:rPr>
        <w:t>年部门</w:t>
      </w:r>
      <w:r>
        <w:rPr>
          <w:rFonts w:hint="eastAsia" w:ascii="方正小标宋简体" w:hAnsi="宋体" w:eastAsia="方正小标宋简体"/>
          <w:color w:val="000000"/>
          <w:kern w:val="0"/>
          <w:sz w:val="40"/>
          <w:szCs w:val="44"/>
          <w:highlight w:val="none"/>
          <w:lang w:val="zh-CN"/>
        </w:rPr>
        <w:t>整体支出绩效评价报告</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highlight w:val="none"/>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Cs w:val="32"/>
          <w:highlight w:val="none"/>
          <w:shd w:val="clear" w:color="auto" w:fill="FFFFFF"/>
          <w:lang w:val="zh-CN"/>
        </w:rPr>
      </w:pPr>
      <w:r>
        <w:rPr>
          <w:rFonts w:hint="eastAsia" w:ascii="黑体" w:hAnsi="宋体" w:eastAsia="黑体" w:cs="宋体"/>
          <w:color w:val="000000"/>
          <w:kern w:val="0"/>
          <w:szCs w:val="32"/>
          <w:highlight w:val="none"/>
          <w:shd w:val="clear" w:color="auto" w:fill="FFFFFF"/>
        </w:rPr>
        <w:t>一、</w:t>
      </w:r>
      <w:r>
        <w:rPr>
          <w:rFonts w:hint="eastAsia" w:ascii="黑体" w:hAnsi="宋体" w:eastAsia="黑体" w:cs="宋体"/>
          <w:color w:val="000000"/>
          <w:kern w:val="0"/>
          <w:szCs w:val="32"/>
          <w:highlight w:val="none"/>
          <w:shd w:val="clear" w:color="auto" w:fill="FFFFFF"/>
          <w:lang w:val="zh-CN"/>
        </w:rPr>
        <w:t>部门（单位）概况</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（一）机构组成。</w:t>
      </w:r>
    </w:p>
    <w:p>
      <w:pPr>
        <w:ind w:firstLine="800" w:firstLineChars="250"/>
        <w:rPr>
          <w:rFonts w:hint="eastAsia" w:ascii="仿宋" w:hAnsi="仿宋" w:eastAsia="仿宋"/>
          <w:szCs w:val="32"/>
          <w:highlight w:val="none"/>
        </w:rPr>
      </w:pPr>
      <w:r>
        <w:rPr>
          <w:rFonts w:hint="eastAsia" w:ascii="仿宋" w:hAnsi="仿宋" w:eastAsia="仿宋"/>
          <w:color w:val="000000"/>
          <w:szCs w:val="32"/>
          <w:highlight w:val="none"/>
          <w:lang w:val="en-US" w:eastAsia="zh-CN"/>
        </w:rPr>
        <w:t>中共自流井区纪委部门</w:t>
      </w:r>
      <w:r>
        <w:rPr>
          <w:rFonts w:hint="eastAsia" w:ascii="仿宋" w:hAnsi="仿宋" w:eastAsia="仿宋"/>
          <w:szCs w:val="32"/>
          <w:highlight w:val="none"/>
          <w:lang w:val="en-US" w:eastAsia="zh-CN"/>
        </w:rPr>
        <w:t>共有</w:t>
      </w:r>
      <w:r>
        <w:rPr>
          <w:rFonts w:ascii="Times New Roman" w:hAnsi="Times New Roman" w:eastAsia="仿宋_GB2312" w:cs="Times New Roman"/>
          <w:color w:val="auto"/>
          <w:sz w:val="32"/>
          <w:szCs w:val="32"/>
          <w:highlight w:val="none"/>
          <w:u w:val="none"/>
        </w:rPr>
        <w:t>内设机构</w:t>
      </w:r>
      <w:r>
        <w:rPr>
          <w:rFonts w:hint="eastAsia" w:ascii="Times New Roman" w:hAnsi="Times New Roman" w:cs="Times New Roman"/>
          <w:color w:val="auto"/>
          <w:sz w:val="32"/>
          <w:szCs w:val="32"/>
          <w:highlight w:val="none"/>
          <w:u w:val="none"/>
          <w:lang w:val="en-US" w:eastAsia="zh-CN"/>
        </w:rPr>
        <w:t>11个，下设派驻纪检监察组织9个</w:t>
      </w:r>
      <w:r>
        <w:rPr>
          <w:rFonts w:hint="eastAsia" w:cs="Times New Roman"/>
          <w:color w:val="auto"/>
          <w:sz w:val="32"/>
          <w:szCs w:val="32"/>
          <w:highlight w:val="none"/>
          <w:u w:val="none"/>
          <w:lang w:val="en-US" w:eastAsia="zh-CN"/>
        </w:rPr>
        <w:t>；</w:t>
      </w:r>
      <w:r>
        <w:rPr>
          <w:rFonts w:hint="eastAsia" w:ascii="仿宋" w:hAnsi="仿宋" w:eastAsia="仿宋"/>
          <w:szCs w:val="32"/>
          <w:highlight w:val="none"/>
        </w:rPr>
        <w:t>下属二级单位1个，其中行政单位0个，参照公务员法管理的事业单位</w:t>
      </w:r>
      <w:r>
        <w:rPr>
          <w:rFonts w:hint="eastAsia" w:ascii="仿宋" w:hAnsi="仿宋" w:eastAsia="仿宋"/>
          <w:bCs/>
          <w:szCs w:val="32"/>
          <w:highlight w:val="none"/>
        </w:rPr>
        <w:t>0</w:t>
      </w:r>
      <w:r>
        <w:rPr>
          <w:rFonts w:hint="eastAsia" w:ascii="仿宋" w:hAnsi="仿宋" w:eastAsia="仿宋"/>
          <w:szCs w:val="32"/>
          <w:highlight w:val="none"/>
        </w:rPr>
        <w:t>个，其他事业单位1个。</w:t>
      </w:r>
    </w:p>
    <w:p>
      <w:pPr>
        <w:widowControl/>
        <w:numPr>
          <w:ilvl w:val="0"/>
          <w:numId w:val="6"/>
        </w:numPr>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机构职能。</w:t>
      </w:r>
    </w:p>
    <w:p>
      <w:pPr>
        <w:spacing w:line="592" w:lineRule="exact"/>
        <w:ind w:firstLine="960" w:firstLineChars="300"/>
        <w:rPr>
          <w:szCs w:val="32"/>
          <w:highlight w:val="none"/>
        </w:rPr>
      </w:pPr>
      <w:r>
        <w:rPr>
          <w:rFonts w:hint="eastAsia"/>
          <w:szCs w:val="32"/>
          <w:highlight w:val="none"/>
        </w:rPr>
        <w:t>1</w:t>
      </w:r>
      <w:r>
        <w:rPr>
          <w:rFonts w:hint="eastAsia"/>
          <w:szCs w:val="32"/>
          <w:highlight w:val="none"/>
          <w:lang w:eastAsia="zh-CN"/>
        </w:rPr>
        <w:t>.</w:t>
      </w:r>
      <w:r>
        <w:rPr>
          <w:szCs w:val="32"/>
          <w:highlight w:val="none"/>
        </w:rPr>
        <w:t>负责党的纪律检查工作，协助区委推进全面从严治党、加强党风</w:t>
      </w:r>
      <w:r>
        <w:rPr>
          <w:rFonts w:hint="eastAsia"/>
          <w:szCs w:val="32"/>
          <w:highlight w:val="none"/>
          <w:lang w:val="en-US" w:eastAsia="zh-CN"/>
        </w:rPr>
        <w:t>廉政</w:t>
      </w:r>
      <w:r>
        <w:rPr>
          <w:szCs w:val="32"/>
          <w:highlight w:val="none"/>
        </w:rPr>
        <w:t>建设和组织协调反腐败工作。</w:t>
      </w:r>
    </w:p>
    <w:p>
      <w:pPr>
        <w:spacing w:line="592" w:lineRule="exact"/>
        <w:ind w:firstLine="960" w:firstLineChars="300"/>
        <w:rPr>
          <w:szCs w:val="32"/>
          <w:highlight w:val="none"/>
        </w:rPr>
      </w:pPr>
      <w:r>
        <w:rPr>
          <w:rFonts w:hint="eastAsia"/>
          <w:szCs w:val="32"/>
          <w:highlight w:val="none"/>
        </w:rPr>
        <w:t>2</w:t>
      </w:r>
      <w:r>
        <w:rPr>
          <w:rFonts w:hint="eastAsia"/>
          <w:szCs w:val="32"/>
          <w:highlight w:val="none"/>
          <w:lang w:eastAsia="zh-CN"/>
        </w:rPr>
        <w:t>.</w:t>
      </w:r>
      <w:r>
        <w:rPr>
          <w:szCs w:val="32"/>
          <w:highlight w:val="none"/>
        </w:rPr>
        <w:t>依照党的章程和其他党内法规履行监督、执纪、问责职责。</w:t>
      </w:r>
    </w:p>
    <w:p>
      <w:pPr>
        <w:spacing w:line="592" w:lineRule="exact"/>
        <w:ind w:firstLine="960" w:firstLineChars="300"/>
        <w:rPr>
          <w:szCs w:val="32"/>
          <w:highlight w:val="none"/>
        </w:rPr>
      </w:pPr>
      <w:r>
        <w:rPr>
          <w:rFonts w:hint="eastAsia"/>
          <w:szCs w:val="32"/>
          <w:highlight w:val="none"/>
        </w:rPr>
        <w:t>3</w:t>
      </w:r>
      <w:r>
        <w:rPr>
          <w:rFonts w:hint="eastAsia"/>
          <w:szCs w:val="32"/>
          <w:highlight w:val="none"/>
          <w:lang w:val="en-US" w:eastAsia="zh-CN"/>
        </w:rPr>
        <w:t>.</w:t>
      </w:r>
      <w:r>
        <w:rPr>
          <w:szCs w:val="32"/>
          <w:highlight w:val="none"/>
        </w:rPr>
        <w:t>负责全区监察工作。依法对区委管理的行使公权力的公职人员进行监察，调查职务违法和职务犯罪，开展廉政建设和反腐败工作。</w:t>
      </w:r>
    </w:p>
    <w:p>
      <w:pPr>
        <w:spacing w:line="592" w:lineRule="exact"/>
        <w:ind w:firstLine="960" w:firstLineChars="300"/>
        <w:rPr>
          <w:szCs w:val="32"/>
          <w:highlight w:val="none"/>
        </w:rPr>
      </w:pPr>
      <w:r>
        <w:rPr>
          <w:rFonts w:hint="eastAsia"/>
          <w:szCs w:val="32"/>
          <w:highlight w:val="none"/>
        </w:rPr>
        <w:t>4</w:t>
      </w:r>
      <w:r>
        <w:rPr>
          <w:rFonts w:hint="eastAsia"/>
          <w:szCs w:val="32"/>
          <w:highlight w:val="none"/>
          <w:lang w:val="en-US" w:eastAsia="zh-CN"/>
        </w:rPr>
        <w:t>.</w:t>
      </w:r>
      <w:r>
        <w:rPr>
          <w:szCs w:val="32"/>
          <w:highlight w:val="none"/>
        </w:rPr>
        <w:t>依照法律规定履行监督、调查、处置职责。</w:t>
      </w:r>
    </w:p>
    <w:p>
      <w:pPr>
        <w:spacing w:line="592" w:lineRule="exact"/>
        <w:ind w:firstLine="960" w:firstLineChars="300"/>
        <w:rPr>
          <w:szCs w:val="32"/>
          <w:highlight w:val="none"/>
        </w:rPr>
      </w:pPr>
      <w:r>
        <w:rPr>
          <w:rFonts w:hint="eastAsia"/>
          <w:szCs w:val="32"/>
          <w:highlight w:val="none"/>
        </w:rPr>
        <w:t>5</w:t>
      </w:r>
      <w:r>
        <w:rPr>
          <w:rFonts w:hint="eastAsia"/>
          <w:szCs w:val="32"/>
          <w:highlight w:val="none"/>
          <w:lang w:val="en-US" w:eastAsia="zh-CN"/>
        </w:rPr>
        <w:t>.</w:t>
      </w:r>
      <w:r>
        <w:rPr>
          <w:szCs w:val="32"/>
          <w:highlight w:val="none"/>
        </w:rPr>
        <w:t>负责组织协调全面从严治党、党风廉政建设和反腐败宣传教育工作。</w:t>
      </w:r>
    </w:p>
    <w:p>
      <w:pPr>
        <w:spacing w:line="592" w:lineRule="exact"/>
        <w:ind w:firstLine="960" w:firstLineChars="300"/>
        <w:rPr>
          <w:szCs w:val="32"/>
          <w:highlight w:val="none"/>
        </w:rPr>
      </w:pPr>
      <w:r>
        <w:rPr>
          <w:rFonts w:hint="eastAsia"/>
          <w:szCs w:val="32"/>
          <w:highlight w:val="none"/>
        </w:rPr>
        <w:t>6</w:t>
      </w:r>
      <w:r>
        <w:rPr>
          <w:rFonts w:hint="eastAsia"/>
          <w:szCs w:val="32"/>
          <w:highlight w:val="none"/>
          <w:lang w:val="en-US" w:eastAsia="zh-CN"/>
        </w:rPr>
        <w:t>.</w:t>
      </w:r>
      <w:r>
        <w:rPr>
          <w:szCs w:val="32"/>
          <w:highlight w:val="none"/>
        </w:rPr>
        <w:t>负责综合分析全面从严治党、党风廉政建设和反腐败工作情况，对纪检监察工作重要理论及实践问题进行调查研究。</w:t>
      </w:r>
    </w:p>
    <w:p>
      <w:pPr>
        <w:spacing w:line="592" w:lineRule="exact"/>
        <w:ind w:firstLine="960" w:firstLineChars="300"/>
        <w:rPr>
          <w:szCs w:val="32"/>
          <w:highlight w:val="none"/>
        </w:rPr>
      </w:pPr>
      <w:r>
        <w:rPr>
          <w:rFonts w:hint="eastAsia"/>
          <w:szCs w:val="32"/>
          <w:highlight w:val="none"/>
        </w:rPr>
        <w:t>7</w:t>
      </w:r>
      <w:r>
        <w:rPr>
          <w:rFonts w:hint="eastAsia"/>
          <w:szCs w:val="32"/>
          <w:highlight w:val="none"/>
          <w:lang w:val="en-US" w:eastAsia="zh-CN"/>
        </w:rPr>
        <w:t>.</w:t>
      </w:r>
      <w:r>
        <w:rPr>
          <w:szCs w:val="32"/>
          <w:highlight w:val="none"/>
        </w:rPr>
        <w:t>在市纪委监委的领导下，加强对反腐败国际追逃追赃和防逃工作的组织协调，督促有关单位做好相关工作。</w:t>
      </w:r>
    </w:p>
    <w:p>
      <w:pPr>
        <w:spacing w:line="592" w:lineRule="exact"/>
        <w:ind w:firstLine="960" w:firstLineChars="300"/>
        <w:rPr>
          <w:szCs w:val="32"/>
          <w:highlight w:val="none"/>
        </w:rPr>
      </w:pPr>
      <w:r>
        <w:rPr>
          <w:rFonts w:hint="eastAsia"/>
          <w:szCs w:val="32"/>
          <w:highlight w:val="none"/>
        </w:rPr>
        <w:t>8</w:t>
      </w:r>
      <w:r>
        <w:rPr>
          <w:rFonts w:hint="eastAsia"/>
          <w:szCs w:val="32"/>
          <w:highlight w:val="none"/>
          <w:lang w:val="en-US" w:eastAsia="zh-CN"/>
        </w:rPr>
        <w:t>.</w:t>
      </w:r>
      <w:r>
        <w:rPr>
          <w:szCs w:val="32"/>
          <w:highlight w:val="none"/>
        </w:rPr>
        <w:t>根据干部管理权限，负责纪检监察系统领导班子建设、干部队伍建设和组织建设的综合规划、政策研究、制度建设和业务指导。</w:t>
      </w:r>
    </w:p>
    <w:p>
      <w:pPr>
        <w:spacing w:line="592" w:lineRule="exact"/>
        <w:ind w:firstLine="960" w:firstLineChars="300"/>
        <w:rPr>
          <w:szCs w:val="32"/>
          <w:highlight w:val="none"/>
        </w:rPr>
      </w:pPr>
      <w:r>
        <w:rPr>
          <w:rFonts w:hint="eastAsia"/>
          <w:szCs w:val="32"/>
          <w:highlight w:val="none"/>
        </w:rPr>
        <w:t>9</w:t>
      </w:r>
      <w:r>
        <w:rPr>
          <w:rFonts w:hint="eastAsia"/>
          <w:szCs w:val="32"/>
          <w:highlight w:val="none"/>
          <w:lang w:val="en-US" w:eastAsia="zh-CN"/>
        </w:rPr>
        <w:t>.</w:t>
      </w:r>
      <w:r>
        <w:rPr>
          <w:szCs w:val="32"/>
          <w:highlight w:val="none"/>
        </w:rPr>
        <w:t>负责职责范围内的安全生产和职业健康、生态环境保护</w:t>
      </w:r>
      <w:r>
        <w:rPr>
          <w:rFonts w:hint="eastAsia"/>
          <w:szCs w:val="32"/>
          <w:highlight w:val="none"/>
        </w:rPr>
        <w:t>等</w:t>
      </w:r>
      <w:r>
        <w:rPr>
          <w:szCs w:val="32"/>
          <w:highlight w:val="none"/>
        </w:rPr>
        <w:t>工作</w:t>
      </w:r>
      <w:r>
        <w:rPr>
          <w:rFonts w:hint="eastAsia"/>
          <w:szCs w:val="32"/>
          <w:highlight w:val="none"/>
        </w:rPr>
        <w:t>。</w:t>
      </w:r>
    </w:p>
    <w:p>
      <w:pPr>
        <w:spacing w:line="592" w:lineRule="exact"/>
        <w:ind w:firstLine="960" w:firstLineChars="300"/>
        <w:rPr>
          <w:szCs w:val="32"/>
          <w:highlight w:val="none"/>
        </w:rPr>
      </w:pPr>
      <w:r>
        <w:rPr>
          <w:rFonts w:hint="eastAsia"/>
          <w:szCs w:val="32"/>
          <w:highlight w:val="none"/>
        </w:rPr>
        <w:t>10</w:t>
      </w:r>
      <w:r>
        <w:rPr>
          <w:rFonts w:hint="eastAsia"/>
          <w:szCs w:val="32"/>
          <w:highlight w:val="none"/>
          <w:lang w:val="en-US" w:eastAsia="zh-CN"/>
        </w:rPr>
        <w:t>.</w:t>
      </w:r>
      <w:r>
        <w:rPr>
          <w:szCs w:val="32"/>
          <w:highlight w:val="none"/>
        </w:rPr>
        <w:t>完成区委和市纪委监委交办的其他任务。</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（三）人员概况。</w:t>
      </w:r>
    </w:p>
    <w:p>
      <w:pPr>
        <w:pStyle w:val="2"/>
        <w:ind w:left="0" w:leftChars="0" w:firstLine="640" w:firstLineChars="200"/>
        <w:rPr>
          <w:highlight w:val="none"/>
          <w:lang w:val="zh-CN"/>
        </w:rPr>
      </w:pPr>
      <w:r>
        <w:rPr>
          <w:kern w:val="0"/>
          <w:szCs w:val="32"/>
          <w:highlight w:val="none"/>
        </w:rPr>
        <w:t>机关</w:t>
      </w:r>
      <w:r>
        <w:rPr>
          <w:rFonts w:hint="eastAsia"/>
          <w:kern w:val="0"/>
          <w:szCs w:val="32"/>
          <w:highlight w:val="none"/>
        </w:rPr>
        <w:t>核</w:t>
      </w:r>
      <w:r>
        <w:rPr>
          <w:kern w:val="0"/>
          <w:szCs w:val="32"/>
          <w:highlight w:val="none"/>
        </w:rPr>
        <w:t>有行政编制32名，事业编制3名</w:t>
      </w:r>
      <w:r>
        <w:rPr>
          <w:rFonts w:hint="eastAsia"/>
          <w:kern w:val="0"/>
          <w:szCs w:val="32"/>
          <w:highlight w:val="none"/>
          <w:lang w:eastAsia="zh-CN"/>
        </w:rPr>
        <w:t>；</w:t>
      </w:r>
      <w:r>
        <w:rPr>
          <w:kern w:val="0"/>
          <w:szCs w:val="32"/>
          <w:highlight w:val="none"/>
        </w:rPr>
        <w:t>实</w:t>
      </w:r>
      <w:r>
        <w:rPr>
          <w:rFonts w:hint="eastAsia"/>
          <w:kern w:val="0"/>
          <w:szCs w:val="32"/>
          <w:highlight w:val="none"/>
          <w:lang w:val="en-US" w:eastAsia="zh-CN"/>
        </w:rPr>
        <w:t>有</w:t>
      </w:r>
      <w:r>
        <w:rPr>
          <w:kern w:val="0"/>
          <w:szCs w:val="32"/>
          <w:highlight w:val="none"/>
        </w:rPr>
        <w:t>在编在岗人员</w:t>
      </w:r>
      <w:r>
        <w:rPr>
          <w:rFonts w:hint="eastAsia"/>
          <w:kern w:val="0"/>
          <w:szCs w:val="32"/>
          <w:highlight w:val="none"/>
        </w:rPr>
        <w:t>32</w:t>
      </w:r>
      <w:r>
        <w:rPr>
          <w:kern w:val="0"/>
          <w:szCs w:val="32"/>
          <w:highlight w:val="none"/>
        </w:rPr>
        <w:t>名（含事业编</w:t>
      </w:r>
      <w:r>
        <w:rPr>
          <w:rFonts w:hint="eastAsia"/>
          <w:kern w:val="0"/>
          <w:szCs w:val="32"/>
          <w:highlight w:val="none"/>
        </w:rPr>
        <w:t>2</w:t>
      </w:r>
      <w:r>
        <w:rPr>
          <w:kern w:val="0"/>
          <w:szCs w:val="32"/>
          <w:highlight w:val="none"/>
        </w:rPr>
        <w:t>名）</w:t>
      </w:r>
      <w:r>
        <w:rPr>
          <w:rFonts w:hint="eastAsia"/>
          <w:kern w:val="0"/>
          <w:szCs w:val="32"/>
          <w:highlight w:val="none"/>
          <w:lang w:eastAsia="zh-CN"/>
        </w:rPr>
        <w:t>，</w:t>
      </w:r>
      <w:r>
        <w:rPr>
          <w:kern w:val="0"/>
          <w:szCs w:val="32"/>
          <w:highlight w:val="none"/>
        </w:rPr>
        <w:t>聘用人员1名。委机关领导职数</w:t>
      </w:r>
      <w:r>
        <w:rPr>
          <w:rFonts w:hint="eastAsia"/>
          <w:kern w:val="0"/>
          <w:szCs w:val="32"/>
          <w:highlight w:val="none"/>
        </w:rPr>
        <w:t>21</w:t>
      </w:r>
      <w:r>
        <w:rPr>
          <w:kern w:val="0"/>
          <w:szCs w:val="32"/>
          <w:highlight w:val="none"/>
        </w:rPr>
        <w:t>名，实有科级以上领导干部</w:t>
      </w:r>
      <w:r>
        <w:rPr>
          <w:rFonts w:hint="eastAsia"/>
          <w:kern w:val="0"/>
          <w:szCs w:val="32"/>
          <w:highlight w:val="none"/>
        </w:rPr>
        <w:t>20</w:t>
      </w:r>
      <w:r>
        <w:rPr>
          <w:kern w:val="0"/>
          <w:szCs w:val="32"/>
          <w:highlight w:val="none"/>
        </w:rPr>
        <w:t>名</w:t>
      </w:r>
      <w:r>
        <w:rPr>
          <w:rFonts w:hint="eastAsia"/>
          <w:kern w:val="0"/>
          <w:szCs w:val="32"/>
          <w:highlight w:val="none"/>
        </w:rPr>
        <w:t>，</w:t>
      </w:r>
      <w:r>
        <w:rPr>
          <w:kern w:val="0"/>
          <w:szCs w:val="32"/>
          <w:highlight w:val="none"/>
        </w:rPr>
        <w:t>其中委班子</w:t>
      </w:r>
      <w:r>
        <w:rPr>
          <w:rFonts w:hint="eastAsia"/>
          <w:kern w:val="0"/>
          <w:szCs w:val="32"/>
          <w:highlight w:val="none"/>
          <w:lang w:val="en-US" w:eastAsia="zh-CN"/>
        </w:rPr>
        <w:t>成员</w:t>
      </w:r>
      <w:r>
        <w:rPr>
          <w:rFonts w:hint="eastAsia"/>
          <w:szCs w:val="32"/>
          <w:highlight w:val="none"/>
        </w:rPr>
        <w:t>8</w:t>
      </w:r>
      <w:r>
        <w:rPr>
          <w:szCs w:val="32"/>
          <w:highlight w:val="none"/>
        </w:rPr>
        <w:t>名</w:t>
      </w:r>
      <w:r>
        <w:rPr>
          <w:rFonts w:hint="eastAsia"/>
          <w:szCs w:val="32"/>
          <w:highlight w:val="none"/>
        </w:rPr>
        <w:t>。</w:t>
      </w:r>
      <w:r>
        <w:rPr>
          <w:rFonts w:hint="eastAsia"/>
          <w:szCs w:val="32"/>
          <w:highlight w:val="none"/>
          <w:lang w:val="en-US" w:eastAsia="zh-CN"/>
        </w:rPr>
        <w:t>派驻纪检监察组织9个，编制数35个，实有在编人员32人。</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highlight w:val="none"/>
          <w:shd w:val="clear" w:color="auto" w:fill="FFFFFF"/>
        </w:rPr>
      </w:pPr>
      <w:r>
        <w:rPr>
          <w:rFonts w:hint="eastAsia" w:ascii="黑体" w:hAnsi="宋体" w:eastAsia="黑体" w:cs="宋体"/>
          <w:color w:val="000000"/>
          <w:kern w:val="0"/>
          <w:szCs w:val="32"/>
          <w:highlight w:val="none"/>
          <w:shd w:val="clear" w:color="auto" w:fill="FFFFFF"/>
        </w:rPr>
        <w:t>二、部门财政资金收支情况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（一）部门财政资金收入情况。</w:t>
      </w:r>
    </w:p>
    <w:p>
      <w:pPr>
        <w:spacing w:line="600" w:lineRule="exact"/>
        <w:ind w:firstLine="640" w:firstLineChars="200"/>
        <w:rPr>
          <w:highlight w:val="none"/>
          <w:lang w:val="zh-CN"/>
        </w:rPr>
      </w:pPr>
      <w:r>
        <w:rPr>
          <w:rFonts w:ascii="仿宋" w:hAnsi="仿宋" w:eastAsia="仿宋"/>
          <w:color w:val="000000"/>
          <w:szCs w:val="32"/>
          <w:highlight w:val="none"/>
        </w:rPr>
        <w:t>2020</w:t>
      </w:r>
      <w:r>
        <w:rPr>
          <w:rFonts w:hint="eastAsia" w:ascii="仿宋" w:hAnsi="仿宋" w:eastAsia="仿宋"/>
          <w:color w:val="000000"/>
          <w:szCs w:val="32"/>
          <w:highlight w:val="none"/>
        </w:rPr>
        <w:t>年本年收入合计958.95万元，其中：一般公共预算财政拨款收入958.95万元，占100</w:t>
      </w:r>
      <w:r>
        <w:rPr>
          <w:rFonts w:ascii="仿宋" w:hAnsi="仿宋" w:eastAsia="仿宋"/>
          <w:color w:val="000000"/>
          <w:szCs w:val="32"/>
          <w:highlight w:val="none"/>
        </w:rPr>
        <w:t>%</w:t>
      </w:r>
      <w:r>
        <w:rPr>
          <w:rFonts w:hint="eastAsia" w:ascii="仿宋" w:hAnsi="仿宋" w:eastAsia="仿宋"/>
          <w:color w:val="000000"/>
          <w:szCs w:val="32"/>
          <w:highlight w:val="none"/>
        </w:rPr>
        <w:t>；政府性基金预算财政拨款收入0万元，占0</w:t>
      </w:r>
      <w:r>
        <w:rPr>
          <w:rFonts w:ascii="仿宋" w:hAnsi="仿宋" w:eastAsia="仿宋"/>
          <w:color w:val="000000"/>
          <w:szCs w:val="32"/>
          <w:highlight w:val="none"/>
        </w:rPr>
        <w:t>%</w:t>
      </w:r>
      <w:r>
        <w:rPr>
          <w:rFonts w:hint="eastAsia" w:ascii="仿宋" w:hAnsi="仿宋" w:eastAsia="仿宋"/>
          <w:color w:val="000000"/>
          <w:szCs w:val="32"/>
          <w:highlight w:val="none"/>
        </w:rPr>
        <w:t>；上级补助收入0万元，占0</w:t>
      </w:r>
      <w:r>
        <w:rPr>
          <w:rFonts w:ascii="仿宋" w:hAnsi="仿宋" w:eastAsia="仿宋"/>
          <w:color w:val="000000"/>
          <w:szCs w:val="32"/>
          <w:highlight w:val="none"/>
        </w:rPr>
        <w:t>%</w:t>
      </w:r>
      <w:r>
        <w:rPr>
          <w:rFonts w:hint="eastAsia" w:ascii="仿宋" w:hAnsi="仿宋" w:eastAsia="仿宋"/>
          <w:color w:val="000000"/>
          <w:szCs w:val="32"/>
          <w:highlight w:val="none"/>
        </w:rPr>
        <w:t>；事业收入0万元，占0</w:t>
      </w:r>
      <w:r>
        <w:rPr>
          <w:rFonts w:ascii="仿宋" w:hAnsi="仿宋" w:eastAsia="仿宋"/>
          <w:color w:val="000000"/>
          <w:szCs w:val="32"/>
          <w:highlight w:val="none"/>
        </w:rPr>
        <w:t>%</w:t>
      </w:r>
      <w:r>
        <w:rPr>
          <w:rFonts w:hint="eastAsia" w:ascii="仿宋" w:hAnsi="仿宋" w:eastAsia="仿宋"/>
          <w:color w:val="000000"/>
          <w:szCs w:val="32"/>
          <w:highlight w:val="none"/>
        </w:rPr>
        <w:t>；经营收入0万元，占0</w:t>
      </w:r>
      <w:r>
        <w:rPr>
          <w:rFonts w:ascii="仿宋" w:hAnsi="仿宋" w:eastAsia="仿宋"/>
          <w:color w:val="000000"/>
          <w:szCs w:val="32"/>
          <w:highlight w:val="none"/>
        </w:rPr>
        <w:t>%</w:t>
      </w:r>
      <w:r>
        <w:rPr>
          <w:rFonts w:hint="eastAsia" w:ascii="仿宋" w:hAnsi="仿宋" w:eastAsia="仿宋"/>
          <w:color w:val="000000"/>
          <w:szCs w:val="32"/>
          <w:highlight w:val="none"/>
        </w:rPr>
        <w:t>；附属单位上缴收入0万元，占0</w:t>
      </w:r>
      <w:r>
        <w:rPr>
          <w:rFonts w:ascii="仿宋" w:hAnsi="仿宋" w:eastAsia="仿宋"/>
          <w:color w:val="000000"/>
          <w:szCs w:val="32"/>
          <w:highlight w:val="none"/>
        </w:rPr>
        <w:t>%</w:t>
      </w:r>
      <w:r>
        <w:rPr>
          <w:rFonts w:hint="eastAsia" w:ascii="仿宋" w:hAnsi="仿宋" w:eastAsia="仿宋"/>
          <w:color w:val="000000"/>
          <w:szCs w:val="32"/>
          <w:highlight w:val="none"/>
        </w:rPr>
        <w:t>；其他收入0万元，占0</w:t>
      </w:r>
      <w:r>
        <w:rPr>
          <w:rFonts w:ascii="仿宋" w:hAnsi="仿宋" w:eastAsia="仿宋"/>
          <w:color w:val="000000"/>
          <w:szCs w:val="32"/>
          <w:highlight w:val="none"/>
        </w:rPr>
        <w:t>%</w:t>
      </w:r>
      <w:r>
        <w:rPr>
          <w:rFonts w:hint="eastAsia" w:ascii="仿宋" w:hAnsi="仿宋" w:eastAsia="仿宋"/>
          <w:color w:val="000000"/>
          <w:szCs w:val="32"/>
          <w:highlight w:val="none"/>
        </w:rPr>
        <w:t>。</w:t>
      </w:r>
    </w:p>
    <w:p>
      <w:pPr>
        <w:widowControl/>
        <w:adjustRightInd w:val="0"/>
        <w:snapToGrid w:val="0"/>
        <w:spacing w:line="580" w:lineRule="exact"/>
        <w:ind w:left="640" w:left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w:t>
      </w:r>
      <w:r>
        <w:rPr>
          <w:rFonts w:hint="eastAsia" w:ascii="仿宋_GB2312" w:hAnsi="宋体" w:cs="宋体"/>
          <w:color w:val="000000"/>
          <w:kern w:val="0"/>
          <w:szCs w:val="32"/>
          <w:highlight w:val="none"/>
          <w:shd w:val="clear" w:color="auto" w:fill="FFFFFF"/>
        </w:rPr>
        <w:t>二</w:t>
      </w:r>
      <w:r>
        <w:rPr>
          <w:rFonts w:hint="eastAsia" w:ascii="仿宋_GB2312" w:hAnsi="宋体" w:cs="宋体"/>
          <w:color w:val="000000"/>
          <w:kern w:val="0"/>
          <w:szCs w:val="32"/>
          <w:highlight w:val="none"/>
          <w:shd w:val="clear" w:color="auto" w:fill="FFFFFF"/>
          <w:lang w:val="zh-CN"/>
        </w:rPr>
        <w:t>）部门财政资金支出情况。</w:t>
      </w:r>
    </w:p>
    <w:p>
      <w:pPr>
        <w:spacing w:line="600" w:lineRule="exact"/>
        <w:ind w:firstLine="640" w:firstLineChars="200"/>
        <w:rPr>
          <w:highlight w:val="none"/>
          <w:lang w:val="zh-CN"/>
        </w:rPr>
      </w:pPr>
      <w:r>
        <w:rPr>
          <w:rFonts w:ascii="仿宋" w:hAnsi="仿宋" w:eastAsia="仿宋"/>
          <w:color w:val="000000"/>
          <w:szCs w:val="32"/>
          <w:highlight w:val="none"/>
        </w:rPr>
        <w:t>2020</w:t>
      </w:r>
      <w:r>
        <w:rPr>
          <w:rFonts w:hint="eastAsia" w:ascii="仿宋" w:hAnsi="仿宋" w:eastAsia="仿宋"/>
          <w:color w:val="000000"/>
          <w:szCs w:val="32"/>
          <w:highlight w:val="none"/>
        </w:rPr>
        <w:t>年本年支出合计945.64万元，其中：基本支出945.64万元，占100</w:t>
      </w:r>
      <w:r>
        <w:rPr>
          <w:rFonts w:ascii="仿宋" w:hAnsi="仿宋" w:eastAsia="仿宋"/>
          <w:color w:val="000000"/>
          <w:szCs w:val="32"/>
          <w:highlight w:val="none"/>
        </w:rPr>
        <w:t>%</w:t>
      </w:r>
      <w:r>
        <w:rPr>
          <w:rFonts w:hint="eastAsia" w:ascii="仿宋" w:hAnsi="仿宋" w:eastAsia="仿宋"/>
          <w:color w:val="000000"/>
          <w:szCs w:val="32"/>
          <w:highlight w:val="none"/>
        </w:rPr>
        <w:t>；项目支出0万元，占0</w:t>
      </w:r>
      <w:r>
        <w:rPr>
          <w:rFonts w:ascii="仿宋" w:hAnsi="仿宋" w:eastAsia="仿宋"/>
          <w:color w:val="000000"/>
          <w:szCs w:val="32"/>
          <w:highlight w:val="none"/>
        </w:rPr>
        <w:t>%</w:t>
      </w:r>
      <w:r>
        <w:rPr>
          <w:rFonts w:hint="eastAsia" w:ascii="仿宋" w:hAnsi="仿宋" w:eastAsia="仿宋"/>
          <w:color w:val="000000"/>
          <w:szCs w:val="32"/>
          <w:highlight w:val="none"/>
        </w:rPr>
        <w:t>；上缴上级支出0万元，占0</w:t>
      </w:r>
      <w:r>
        <w:rPr>
          <w:rFonts w:ascii="仿宋" w:hAnsi="仿宋" w:eastAsia="仿宋"/>
          <w:color w:val="000000"/>
          <w:szCs w:val="32"/>
          <w:highlight w:val="none"/>
        </w:rPr>
        <w:t>%</w:t>
      </w:r>
      <w:r>
        <w:rPr>
          <w:rFonts w:hint="eastAsia" w:ascii="仿宋" w:hAnsi="仿宋" w:eastAsia="仿宋"/>
          <w:color w:val="000000"/>
          <w:szCs w:val="32"/>
          <w:highlight w:val="none"/>
        </w:rPr>
        <w:t>；经营支出0万元，占0</w:t>
      </w:r>
      <w:r>
        <w:rPr>
          <w:rFonts w:ascii="仿宋" w:hAnsi="仿宋" w:eastAsia="仿宋"/>
          <w:color w:val="000000"/>
          <w:szCs w:val="32"/>
          <w:highlight w:val="none"/>
        </w:rPr>
        <w:t>%</w:t>
      </w:r>
      <w:r>
        <w:rPr>
          <w:rFonts w:hint="eastAsia" w:ascii="仿宋" w:hAnsi="仿宋" w:eastAsia="仿宋"/>
          <w:color w:val="000000"/>
          <w:szCs w:val="32"/>
          <w:highlight w:val="none"/>
        </w:rPr>
        <w:t>；对附属单位补助支出0万元，占0</w:t>
      </w:r>
      <w:r>
        <w:rPr>
          <w:rFonts w:ascii="仿宋" w:hAnsi="仿宋" w:eastAsia="仿宋"/>
          <w:color w:val="000000"/>
          <w:szCs w:val="32"/>
          <w:highlight w:val="none"/>
        </w:rPr>
        <w:t>%</w:t>
      </w:r>
      <w:r>
        <w:rPr>
          <w:rFonts w:hint="eastAsia" w:ascii="仿宋" w:hAnsi="仿宋" w:eastAsia="仿宋"/>
          <w:color w:val="000000"/>
          <w:szCs w:val="32"/>
          <w:highlight w:val="none"/>
        </w:rPr>
        <w:t>。</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highlight w:val="none"/>
          <w:shd w:val="clear" w:color="auto" w:fill="FFFFFF"/>
        </w:rPr>
      </w:pPr>
      <w:r>
        <w:rPr>
          <w:rFonts w:hint="eastAsia" w:ascii="黑体" w:hAnsi="宋体" w:eastAsia="黑体" w:cs="宋体"/>
          <w:color w:val="000000"/>
          <w:kern w:val="0"/>
          <w:szCs w:val="32"/>
          <w:highlight w:val="none"/>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（一）部门预算管理。</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包括部门绩效目标制定、目标实现、预算编制准确、支出控制、预算动态调整、执行进度、预算完成情况和违规记录等情况。</w:t>
      </w:r>
    </w:p>
    <w:p>
      <w:pPr>
        <w:pStyle w:val="2"/>
        <w:ind w:left="0" w:leftChars="0" w:firstLine="640" w:firstLineChars="200"/>
        <w:rPr>
          <w:highlight w:val="none"/>
          <w:lang w:val="zh-CN"/>
        </w:rPr>
      </w:pPr>
      <w:r>
        <w:rPr>
          <w:rFonts w:hint="eastAsia"/>
          <w:highlight w:val="none"/>
        </w:rPr>
        <w:t>绩效目标制定：</w:t>
      </w:r>
      <w:r>
        <w:rPr>
          <w:rFonts w:hint="eastAsia"/>
          <w:highlight w:val="none"/>
          <w:lang w:val="zh-CN"/>
        </w:rPr>
        <w:t>部门整体支出绩效评价是严格落实《预算法》及</w:t>
      </w:r>
      <w:r>
        <w:rPr>
          <w:rFonts w:hint="eastAsia"/>
          <w:highlight w:val="none"/>
        </w:rPr>
        <w:t>区</w:t>
      </w:r>
      <w:r>
        <w:rPr>
          <w:rFonts w:hint="eastAsia"/>
          <w:highlight w:val="none"/>
          <w:lang w:val="zh-CN"/>
        </w:rPr>
        <w:t>绩效管理工作的有关规定，进一步规范财政资金的管理，强化财政支出绩效理念，坚持践行节约，提升部门责任意识，提高资金使用效益。</w:t>
      </w:r>
    </w:p>
    <w:p>
      <w:pPr>
        <w:pStyle w:val="2"/>
        <w:ind w:left="0" w:leftChars="0" w:firstLine="640" w:firstLineChars="200"/>
        <w:rPr>
          <w:highlight w:val="none"/>
          <w:lang w:val="zh-CN"/>
        </w:rPr>
      </w:pPr>
      <w:r>
        <w:rPr>
          <w:rFonts w:hint="eastAsia"/>
          <w:highlight w:val="none"/>
        </w:rPr>
        <w:t>目标实现：</w:t>
      </w:r>
      <w:r>
        <w:rPr>
          <w:rFonts w:hint="eastAsia"/>
          <w:highlight w:val="none"/>
          <w:lang w:val="zh-CN"/>
        </w:rPr>
        <w:t>根据收集的财务数据及相关资料进行分析，对部门整体支出绩效评价指标体系评分表内容逐条逐项评价，评价内容包括部门整体绩效评分表中涵盖的各项指标，主要包括年度部门目标设置、部门预算配置、部门会计核算管理、部门预算管理和部门职责履行情况及效果等。根据评价体系，对获取的资料进行计算、分析、得出评价分值，确定绩效评价报告的主要内容，出具整体支出绩效评价报告。</w:t>
      </w:r>
    </w:p>
    <w:p>
      <w:pPr>
        <w:pStyle w:val="2"/>
        <w:ind w:left="0" w:leftChars="0" w:firstLine="640" w:firstLineChars="200"/>
        <w:rPr>
          <w:highlight w:val="none"/>
        </w:rPr>
      </w:pPr>
      <w:r>
        <w:rPr>
          <w:rFonts w:hint="eastAsia"/>
          <w:highlight w:val="none"/>
        </w:rPr>
        <w:t>预算编制：按照《预算法》，严格执行预算编制，合理规范资金使用管理。按照各部门要求，区纪委在政府外网中进行2020年预算编制公开。</w:t>
      </w:r>
    </w:p>
    <w:p>
      <w:pPr>
        <w:pStyle w:val="2"/>
        <w:ind w:left="0" w:leftChars="0" w:firstLine="640" w:firstLineChars="200"/>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支出控制：根据</w:t>
      </w:r>
      <w:r>
        <w:rPr>
          <w:rFonts w:hint="eastAsia"/>
          <w:highlight w:val="none"/>
        </w:rPr>
        <w:t>区</w:t>
      </w:r>
      <w:r>
        <w:rPr>
          <w:rFonts w:hint="eastAsia"/>
          <w:highlight w:val="none"/>
          <w:lang w:val="zh-CN"/>
        </w:rPr>
        <w:t>绩效管理工作</w:t>
      </w:r>
      <w:r>
        <w:rPr>
          <w:rFonts w:hint="eastAsia"/>
          <w:highlight w:val="none"/>
        </w:rPr>
        <w:t>和</w:t>
      </w:r>
      <w:r>
        <w:rPr>
          <w:rFonts w:hint="eastAsia" w:ascii="仿宋_GB2312" w:hAnsi="宋体" w:cs="宋体"/>
          <w:color w:val="000000"/>
          <w:kern w:val="0"/>
          <w:szCs w:val="32"/>
          <w:highlight w:val="none"/>
          <w:shd w:val="clear" w:color="auto" w:fill="FFFFFF"/>
        </w:rPr>
        <w:t>财经纪律</w:t>
      </w:r>
      <w:r>
        <w:rPr>
          <w:rFonts w:hint="eastAsia" w:ascii="仿宋_GB2312" w:hAnsi="宋体" w:cs="宋体"/>
          <w:color w:val="000000"/>
          <w:kern w:val="0"/>
          <w:szCs w:val="32"/>
          <w:highlight w:val="none"/>
          <w:shd w:val="clear" w:color="auto" w:fill="FFFFFF"/>
          <w:lang w:val="zh-CN"/>
        </w:rPr>
        <w:t>等有关文件精神</w:t>
      </w:r>
      <w:r>
        <w:rPr>
          <w:rFonts w:hint="eastAsia"/>
          <w:highlight w:val="none"/>
          <w:lang w:val="zh-CN"/>
        </w:rPr>
        <w:t>的规定，进一步规范财政资金的管理，强化财政支出绩效理念，坚持践行节约。</w:t>
      </w:r>
    </w:p>
    <w:p>
      <w:pPr>
        <w:pStyle w:val="2"/>
        <w:ind w:left="0" w:leftChars="0" w:firstLine="640" w:firstLineChars="200"/>
        <w:rPr>
          <w:highlight w:val="none"/>
        </w:rPr>
      </w:pPr>
      <w:r>
        <w:rPr>
          <w:rFonts w:hint="eastAsia" w:ascii="仿宋_GB2312" w:hAnsi="宋体" w:cs="宋体"/>
          <w:color w:val="000000"/>
          <w:kern w:val="0"/>
          <w:szCs w:val="32"/>
          <w:highlight w:val="none"/>
          <w:shd w:val="clear" w:color="auto" w:fill="FFFFFF"/>
          <w:lang w:val="zh-CN"/>
        </w:rPr>
        <w:t>预算动态调整：</w:t>
      </w:r>
      <w:r>
        <w:rPr>
          <w:rFonts w:hint="eastAsia"/>
          <w:highlight w:val="none"/>
        </w:rPr>
        <w:t>部门预算根据人员调动的情况，按照财政安排的时间，对人员定额费用进行调整。</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（二）结果应用情况。</w:t>
      </w:r>
    </w:p>
    <w:p>
      <w:pPr>
        <w:pStyle w:val="2"/>
        <w:ind w:left="0" w:leftChars="0"/>
        <w:rPr>
          <w:rFonts w:ascii="仿宋_GB2312" w:hAnsi="宋体" w:cs="宋体"/>
          <w:color w:val="000000"/>
          <w:kern w:val="0"/>
          <w:szCs w:val="32"/>
          <w:highlight w:val="none"/>
          <w:shd w:val="clear" w:color="auto" w:fill="FFFFFF"/>
        </w:rPr>
      </w:pPr>
      <w:r>
        <w:rPr>
          <w:rFonts w:hint="eastAsia" w:ascii="仿宋_GB2312" w:hAnsi="宋体" w:cs="宋体"/>
          <w:color w:val="000000"/>
          <w:kern w:val="0"/>
          <w:szCs w:val="32"/>
          <w:highlight w:val="none"/>
          <w:shd w:val="clear" w:color="auto" w:fill="FFFFFF"/>
        </w:rPr>
        <w:t xml:space="preserve">    绩效自评公开：将在区政府外网上进行公开。</w:t>
      </w:r>
    </w:p>
    <w:p>
      <w:pPr>
        <w:ind w:firstLine="640" w:firstLineChars="200"/>
        <w:rPr>
          <w:highlight w:val="none"/>
        </w:rPr>
      </w:pPr>
      <w:r>
        <w:rPr>
          <w:rFonts w:hint="eastAsia" w:ascii="仿宋_GB2312" w:hAnsi="宋体" w:cs="宋体"/>
          <w:color w:val="000000"/>
          <w:kern w:val="0"/>
          <w:szCs w:val="32"/>
          <w:highlight w:val="none"/>
          <w:shd w:val="clear" w:color="auto" w:fill="FFFFFF"/>
        </w:rPr>
        <w:t>评价结果整改：不断加强预算编制管理,保障预算编制的合理性、科学性;按照国家法律法规及省市相关规章制度编制预算，并不断完善预算编制体系，保障预算数据全面性、完整性;不断强化预算资金约束力，优化收支结构，提高预算资金使用效益;及时向各部门通报预算执行进度，促使室部合理安排工作，有效保障预算资金的透明度;统筹规划预算资金，确保预算资金使用的合理性、合法性。</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highlight w:val="none"/>
          <w:shd w:val="clear" w:color="auto" w:fill="FFFFFF"/>
        </w:rPr>
      </w:pPr>
      <w:r>
        <w:rPr>
          <w:rFonts w:hint="eastAsia" w:ascii="黑体" w:hAnsi="宋体" w:eastAsia="黑体" w:cs="宋体"/>
          <w:color w:val="000000"/>
          <w:kern w:val="0"/>
          <w:szCs w:val="32"/>
          <w:highlight w:val="none"/>
          <w:shd w:val="clear" w:color="auto" w:fill="FFFFFF"/>
        </w:rPr>
        <w:t>四、评价结论及建议</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（一）评价结论。</w:t>
      </w:r>
    </w:p>
    <w:p>
      <w:pPr>
        <w:widowControl/>
        <w:adjustRightInd w:val="0"/>
        <w:snapToGrid w:val="0"/>
        <w:spacing w:line="580" w:lineRule="exact"/>
        <w:ind w:firstLine="640" w:firstLineChars="200"/>
        <w:contextualSpacing/>
        <w:jc w:val="left"/>
        <w:rPr>
          <w:highlight w:val="none"/>
          <w:lang w:val="zh-CN"/>
        </w:rPr>
      </w:pPr>
      <w:r>
        <w:rPr>
          <w:rFonts w:hint="eastAsia"/>
          <w:highlight w:val="none"/>
        </w:rPr>
        <w:t>区纪委</w:t>
      </w:r>
      <w:r>
        <w:rPr>
          <w:rFonts w:hint="eastAsia"/>
          <w:highlight w:val="none"/>
          <w:lang w:val="zh-CN"/>
        </w:rPr>
        <w:t>对</w:t>
      </w:r>
      <w:r>
        <w:rPr>
          <w:rFonts w:hint="eastAsia"/>
          <w:highlight w:val="none"/>
        </w:rPr>
        <w:t>部门2020</w:t>
      </w:r>
      <w:r>
        <w:rPr>
          <w:rFonts w:hint="eastAsia"/>
          <w:highlight w:val="none"/>
          <w:lang w:val="zh-CN"/>
        </w:rPr>
        <w:t>年</w:t>
      </w:r>
      <w:r>
        <w:rPr>
          <w:rFonts w:hint="eastAsia"/>
          <w:highlight w:val="none"/>
        </w:rPr>
        <w:t>实施</w:t>
      </w:r>
      <w:r>
        <w:rPr>
          <w:rFonts w:hint="eastAsia"/>
          <w:highlight w:val="none"/>
          <w:lang w:val="zh-CN"/>
        </w:rPr>
        <w:t>的7个项目</w:t>
      </w:r>
      <w:r>
        <w:rPr>
          <w:rFonts w:hint="eastAsia"/>
          <w:highlight w:val="none"/>
        </w:rPr>
        <w:t>中的5个</w:t>
      </w:r>
      <w:r>
        <w:rPr>
          <w:rFonts w:hint="eastAsia"/>
          <w:highlight w:val="none"/>
          <w:lang w:val="zh-CN"/>
        </w:rPr>
        <w:t>绩效目标实际情况进行了</w:t>
      </w:r>
      <w:r>
        <w:rPr>
          <w:rFonts w:hint="eastAsia"/>
          <w:highlight w:val="none"/>
        </w:rPr>
        <w:t>评价</w:t>
      </w:r>
      <w:r>
        <w:rPr>
          <w:rFonts w:hint="eastAsia"/>
          <w:highlight w:val="none"/>
          <w:lang w:val="zh-CN"/>
        </w:rPr>
        <w:t>,总体来看各</w:t>
      </w:r>
      <w:r>
        <w:rPr>
          <w:rFonts w:hint="eastAsia"/>
          <w:highlight w:val="none"/>
        </w:rPr>
        <w:t>项</w:t>
      </w:r>
      <w:r>
        <w:rPr>
          <w:rFonts w:hint="eastAsia"/>
          <w:highlight w:val="none"/>
          <w:lang w:val="zh-CN"/>
        </w:rPr>
        <w:t>资金使用</w:t>
      </w:r>
      <w:r>
        <w:rPr>
          <w:rFonts w:hint="eastAsia"/>
          <w:highlight w:val="none"/>
        </w:rPr>
        <w:t>在</w:t>
      </w:r>
      <w:r>
        <w:rPr>
          <w:rFonts w:hint="eastAsia"/>
          <w:highlight w:val="none"/>
          <w:lang w:val="zh-CN"/>
        </w:rPr>
        <w:t>实施中均能严格对照绩效目标落实,项目推进过程中公示公告及时、日常管控到位,项目实际作用发挥良好、群众认可度较高。</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（二）存在问题。</w:t>
      </w:r>
    </w:p>
    <w:p>
      <w:pPr>
        <w:adjustRightInd w:val="0"/>
        <w:snapToGrid w:val="0"/>
        <w:spacing w:line="600" w:lineRule="exact"/>
        <w:ind w:firstLine="720"/>
        <w:rPr>
          <w:rFonts w:hint="default" w:ascii="仿宋_GB2312" w:hAnsi="仿宋_GB2312" w:cs="仿宋_GB2312"/>
          <w:szCs w:val="32"/>
          <w:highlight w:val="none"/>
          <w:lang w:val="en-US"/>
        </w:rPr>
      </w:pPr>
      <w:r>
        <w:rPr>
          <w:rFonts w:hint="eastAsia" w:ascii="仿宋_GB2312" w:hAnsi="宋体"/>
          <w:szCs w:val="32"/>
          <w:highlight w:val="none"/>
          <w:lang w:val="en-US" w:eastAsia="zh-CN"/>
        </w:rPr>
        <w:t>一是</w:t>
      </w:r>
      <w:r>
        <w:rPr>
          <w:rFonts w:hint="eastAsia" w:ascii="仿宋_GB2312" w:hAnsi="宋体"/>
          <w:szCs w:val="32"/>
          <w:highlight w:val="none"/>
        </w:rPr>
        <w:t>编制预算不够准确</w:t>
      </w:r>
      <w:r>
        <w:rPr>
          <w:rFonts w:hint="eastAsia" w:ascii="仿宋_GB2312" w:hAnsi="宋体"/>
          <w:szCs w:val="32"/>
          <w:highlight w:val="none"/>
          <w:lang w:eastAsia="zh-CN"/>
        </w:rPr>
        <w:t>。</w:t>
      </w:r>
      <w:r>
        <w:rPr>
          <w:rFonts w:hint="eastAsia" w:ascii="仿宋_GB2312" w:hAnsi="宋体"/>
          <w:szCs w:val="32"/>
          <w:highlight w:val="none"/>
          <w:lang w:val="en-US" w:eastAsia="zh-CN"/>
        </w:rPr>
        <w:t>有的项目根据上年预决算编制，但因实际情况发生变化，导致实际执行情况不理想，如，清风问政项目；有的项目</w:t>
      </w:r>
      <w:r>
        <w:rPr>
          <w:rFonts w:hint="eastAsia" w:ascii="仿宋_GB2312" w:hAnsi="宋体"/>
          <w:szCs w:val="32"/>
          <w:highlight w:val="none"/>
        </w:rPr>
        <w:t>只能预估概数，导致</w:t>
      </w:r>
      <w:r>
        <w:rPr>
          <w:rFonts w:hint="eastAsia" w:ascii="仿宋_GB2312" w:hAnsi="宋体"/>
          <w:szCs w:val="32"/>
          <w:highlight w:val="none"/>
          <w:lang w:val="en-US" w:eastAsia="zh-CN"/>
        </w:rPr>
        <w:t>超出</w:t>
      </w:r>
      <w:r>
        <w:rPr>
          <w:rFonts w:hint="eastAsia" w:ascii="仿宋_GB2312" w:hAnsi="宋体"/>
          <w:szCs w:val="32"/>
          <w:highlight w:val="none"/>
        </w:rPr>
        <w:t>预算</w:t>
      </w:r>
      <w:r>
        <w:rPr>
          <w:rFonts w:hint="eastAsia" w:ascii="仿宋_GB2312" w:hAnsi="宋体"/>
          <w:szCs w:val="32"/>
          <w:highlight w:val="none"/>
          <w:lang w:val="en-US" w:eastAsia="zh-CN"/>
        </w:rPr>
        <w:t>编制，如</w:t>
      </w:r>
      <w:r>
        <w:rPr>
          <w:rFonts w:hint="eastAsia"/>
          <w:highlight w:val="none"/>
        </w:rPr>
        <w:t>纪检审查经费</w:t>
      </w:r>
      <w:r>
        <w:rPr>
          <w:rFonts w:hint="eastAsia" w:ascii="仿宋_GB2312" w:hAnsi="宋体"/>
          <w:szCs w:val="32"/>
          <w:highlight w:val="none"/>
          <w:lang w:val="en-US" w:eastAsia="zh-CN"/>
        </w:rPr>
        <w:t>。</w:t>
      </w:r>
    </w:p>
    <w:p>
      <w:pPr>
        <w:pStyle w:val="2"/>
        <w:ind w:left="0" w:leftChars="0" w:firstLine="640" w:firstLineChars="200"/>
        <w:rPr>
          <w:highlight w:val="none"/>
          <w:lang w:val="zh-CN"/>
        </w:rPr>
      </w:pPr>
      <w:r>
        <w:rPr>
          <w:rFonts w:hint="eastAsia"/>
          <w:highlight w:val="none"/>
          <w:lang w:val="en-US" w:eastAsia="zh-CN"/>
        </w:rPr>
        <w:t>二是</w:t>
      </w:r>
      <w:r>
        <w:rPr>
          <w:rFonts w:hint="eastAsia"/>
          <w:highlight w:val="none"/>
          <w:lang w:val="zh-CN"/>
        </w:rPr>
        <w:t>部分项目资金进度缓慢。如，</w:t>
      </w:r>
      <w:r>
        <w:rPr>
          <w:rFonts w:hint="eastAsia"/>
          <w:highlight w:val="none"/>
        </w:rPr>
        <w:t>2020</w:t>
      </w:r>
      <w:r>
        <w:rPr>
          <w:rFonts w:hint="eastAsia"/>
          <w:highlight w:val="none"/>
          <w:lang w:val="zh-CN"/>
        </w:rPr>
        <w:t>年度</w:t>
      </w:r>
      <w:r>
        <w:rPr>
          <w:rFonts w:hint="eastAsia"/>
          <w:highlight w:val="none"/>
        </w:rPr>
        <w:t>党风廉政建设经费</w:t>
      </w:r>
      <w:r>
        <w:rPr>
          <w:rFonts w:hint="eastAsia"/>
          <w:highlight w:val="none"/>
          <w:lang w:val="zh-CN"/>
        </w:rPr>
        <w:t>项目，因资金拨付手续办理不及时，导致资金拨付进度缓慢。</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（三）改进建议。</w:t>
      </w:r>
    </w:p>
    <w:p>
      <w:pPr>
        <w:pStyle w:val="2"/>
        <w:ind w:left="0" w:leftChars="0" w:firstLine="640" w:firstLineChars="200"/>
        <w:rPr>
          <w:highlight w:val="none"/>
          <w:lang w:val="zh-CN"/>
        </w:rPr>
      </w:pPr>
      <w:r>
        <w:rPr>
          <w:rFonts w:hint="eastAsia"/>
          <w:highlight w:val="none"/>
          <w:lang w:val="zh-CN"/>
        </w:rPr>
        <w:t>一是加大资金支出力度。</w:t>
      </w:r>
      <w:r>
        <w:rPr>
          <w:rFonts w:hint="eastAsia"/>
          <w:highlight w:val="none"/>
        </w:rPr>
        <w:t>区纪委</w:t>
      </w:r>
      <w:r>
        <w:rPr>
          <w:rFonts w:hint="eastAsia"/>
          <w:highlight w:val="none"/>
          <w:lang w:val="zh-CN"/>
        </w:rPr>
        <w:t>在今年资金投向上将侧重向工作</w:t>
      </w:r>
      <w:r>
        <w:rPr>
          <w:rFonts w:hint="eastAsia"/>
          <w:highlight w:val="none"/>
        </w:rPr>
        <w:t>量大</w:t>
      </w:r>
      <w:r>
        <w:rPr>
          <w:rFonts w:hint="eastAsia"/>
          <w:highlight w:val="none"/>
          <w:lang w:val="zh-CN"/>
        </w:rPr>
        <w:t>、</w:t>
      </w:r>
      <w:r>
        <w:rPr>
          <w:rFonts w:hint="eastAsia"/>
          <w:highlight w:val="none"/>
        </w:rPr>
        <w:t>资金需求多</w:t>
      </w:r>
      <w:r>
        <w:rPr>
          <w:rFonts w:hint="eastAsia"/>
          <w:highlight w:val="none"/>
          <w:lang w:val="zh-CN"/>
        </w:rPr>
        <w:t xml:space="preserve">的部门倾斜，以使资金发挥最大效益。 </w:t>
      </w:r>
    </w:p>
    <w:p>
      <w:pPr>
        <w:pStyle w:val="2"/>
        <w:ind w:left="0" w:leftChars="0" w:firstLine="640" w:firstLineChars="200"/>
        <w:rPr>
          <w:rFonts w:hint="default" w:eastAsia="仿宋_GB2312"/>
          <w:highlight w:val="none"/>
          <w:lang w:val="en-US" w:eastAsia="zh-CN"/>
        </w:rPr>
      </w:pPr>
      <w:r>
        <w:rPr>
          <w:rFonts w:hint="eastAsia"/>
          <w:highlight w:val="none"/>
          <w:lang w:val="en-US" w:eastAsia="zh-CN"/>
        </w:rPr>
        <w:t>二是着眼科学性、前瞻性，加强项目编制预算的准确性，加快项目预算的执行进度。</w:t>
      </w:r>
    </w:p>
    <w:p>
      <w:pPr>
        <w:pStyle w:val="2"/>
        <w:ind w:left="0" w:leftChars="0" w:firstLine="640" w:firstLineChars="200"/>
        <w:rPr>
          <w:highlight w:val="none"/>
        </w:rPr>
        <w:sectPr>
          <w:pgSz w:w="11906" w:h="16838"/>
          <w:pgMar w:top="1440" w:right="1800" w:bottom="1440" w:left="1800" w:header="851" w:footer="992" w:gutter="0"/>
          <w:cols w:space="425" w:num="1"/>
          <w:docGrid w:type="lines" w:linePitch="312" w:charSpace="0"/>
        </w:sectPr>
      </w:pPr>
      <w:r>
        <w:rPr>
          <w:rFonts w:hint="eastAsia"/>
          <w:highlight w:val="none"/>
          <w:lang w:val="en-US" w:eastAsia="zh-CN"/>
        </w:rPr>
        <w:t>三</w:t>
      </w:r>
      <w:r>
        <w:rPr>
          <w:rFonts w:hint="eastAsia"/>
          <w:highlight w:val="none"/>
          <w:lang w:val="zh-CN"/>
        </w:rPr>
        <w:t>是突出项目进度在绩效评价中的</w:t>
      </w:r>
      <w:r>
        <w:rPr>
          <w:rFonts w:hint="eastAsia"/>
          <w:highlight w:val="none"/>
        </w:rPr>
        <w:t>考核</w:t>
      </w:r>
      <w:r>
        <w:rPr>
          <w:rFonts w:hint="eastAsia"/>
          <w:highlight w:val="none"/>
          <w:lang w:val="zh-CN"/>
        </w:rPr>
        <w:t>权重。在今年的绩效考评中，将加大对项目实施进度、资金支出进度的考核权重。对于实施进度缓慢、支出进度不及时</w:t>
      </w:r>
      <w:r>
        <w:rPr>
          <w:rFonts w:hint="eastAsia"/>
          <w:highlight w:val="none"/>
        </w:rPr>
        <w:t>的及时调整。</w:t>
      </w:r>
    </w:p>
    <w:p>
      <w:pPr>
        <w:spacing w:line="620" w:lineRule="exact"/>
        <w:jc w:val="center"/>
        <w:rPr>
          <w:rFonts w:eastAsia="黑体"/>
          <w:color w:val="000000"/>
          <w:highlight w:val="none"/>
        </w:rPr>
      </w:pPr>
      <w:r>
        <w:rPr>
          <w:rFonts w:hint="eastAsia" w:hAnsi="方正小标宋简体" w:eastAsia="方正小标宋简体" w:cs="方正小标宋简体"/>
          <w:bCs/>
          <w:color w:val="000000"/>
          <w:kern w:val="0"/>
          <w:highlight w:val="none"/>
        </w:rPr>
        <w:t>区级部门整体支出绩效评价指标体系</w:t>
      </w:r>
    </w:p>
    <w:tbl>
      <w:tblPr>
        <w:tblStyle w:val="15"/>
        <w:tblW w:w="14560" w:type="dxa"/>
        <w:jc w:val="center"/>
        <w:tblLayout w:type="autofit"/>
        <w:tblCellMar>
          <w:top w:w="0" w:type="dxa"/>
          <w:left w:w="108" w:type="dxa"/>
          <w:bottom w:w="0" w:type="dxa"/>
          <w:right w:w="108" w:type="dxa"/>
        </w:tblCellMar>
      </w:tblPr>
      <w:tblGrid>
        <w:gridCol w:w="704"/>
        <w:gridCol w:w="1276"/>
        <w:gridCol w:w="1984"/>
        <w:gridCol w:w="4237"/>
        <w:gridCol w:w="4691"/>
        <w:gridCol w:w="837"/>
        <w:gridCol w:w="831"/>
      </w:tblGrid>
      <w:tr>
        <w:tblPrEx>
          <w:tblCellMar>
            <w:top w:w="0" w:type="dxa"/>
            <w:left w:w="108" w:type="dxa"/>
            <w:bottom w:w="0" w:type="dxa"/>
            <w:right w:w="108" w:type="dxa"/>
          </w:tblCellMar>
        </w:tblPrEx>
        <w:trPr>
          <w:cantSplit/>
          <w:trHeight w:val="20" w:hRule="atLeast"/>
          <w:tblHeader/>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spacing w:line="200" w:lineRule="exact"/>
              <w:jc w:val="center"/>
              <w:rPr>
                <w:rFonts w:eastAsia="宋体"/>
                <w:b/>
                <w:bCs/>
                <w:color w:val="000000"/>
                <w:kern w:val="0"/>
                <w:sz w:val="20"/>
                <w:szCs w:val="20"/>
                <w:highlight w:val="none"/>
              </w:rPr>
            </w:pPr>
            <w:r>
              <w:rPr>
                <w:rFonts w:hint="eastAsia" w:eastAsia="宋体" w:cs="宋体"/>
                <w:b/>
                <w:bCs/>
                <w:color w:val="000000"/>
                <w:kern w:val="0"/>
                <w:sz w:val="20"/>
                <w:szCs w:val="20"/>
                <w:highlight w:val="none"/>
              </w:rPr>
              <w:t>一级指标</w:t>
            </w:r>
          </w:p>
        </w:tc>
        <w:tc>
          <w:tcPr>
            <w:tcW w:w="1276" w:type="dxa"/>
            <w:tcBorders>
              <w:top w:val="single" w:color="auto" w:sz="4" w:space="0"/>
              <w:left w:val="nil"/>
              <w:bottom w:val="single" w:color="auto" w:sz="4" w:space="0"/>
              <w:right w:val="single" w:color="auto" w:sz="4" w:space="0"/>
            </w:tcBorders>
            <w:noWrap/>
            <w:vAlign w:val="center"/>
          </w:tcPr>
          <w:p>
            <w:pPr>
              <w:spacing w:line="200" w:lineRule="exact"/>
              <w:jc w:val="center"/>
              <w:rPr>
                <w:rFonts w:eastAsia="宋体"/>
                <w:b/>
                <w:bCs/>
                <w:color w:val="000000"/>
                <w:kern w:val="0"/>
                <w:sz w:val="20"/>
                <w:szCs w:val="20"/>
                <w:highlight w:val="none"/>
              </w:rPr>
            </w:pPr>
            <w:r>
              <w:rPr>
                <w:rFonts w:hint="eastAsia" w:eastAsia="宋体" w:cs="宋体"/>
                <w:b/>
                <w:bCs/>
                <w:color w:val="000000"/>
                <w:kern w:val="0"/>
                <w:sz w:val="20"/>
                <w:szCs w:val="20"/>
                <w:highlight w:val="none"/>
              </w:rPr>
              <w:t>二级指标</w:t>
            </w:r>
          </w:p>
        </w:tc>
        <w:tc>
          <w:tcPr>
            <w:tcW w:w="1984" w:type="dxa"/>
            <w:tcBorders>
              <w:top w:val="single" w:color="auto" w:sz="4" w:space="0"/>
              <w:left w:val="nil"/>
              <w:bottom w:val="single" w:color="auto" w:sz="4" w:space="0"/>
              <w:right w:val="single" w:color="auto" w:sz="4" w:space="0"/>
            </w:tcBorders>
            <w:noWrap/>
            <w:vAlign w:val="center"/>
          </w:tcPr>
          <w:p>
            <w:pPr>
              <w:spacing w:line="200" w:lineRule="exact"/>
              <w:jc w:val="center"/>
              <w:rPr>
                <w:rFonts w:eastAsia="宋体"/>
                <w:b/>
                <w:bCs/>
                <w:color w:val="000000"/>
                <w:kern w:val="0"/>
                <w:sz w:val="20"/>
                <w:szCs w:val="20"/>
                <w:highlight w:val="none"/>
              </w:rPr>
            </w:pPr>
            <w:r>
              <w:rPr>
                <w:rFonts w:hint="eastAsia" w:eastAsia="宋体" w:cs="宋体"/>
                <w:b/>
                <w:bCs/>
                <w:color w:val="000000"/>
                <w:kern w:val="0"/>
                <w:sz w:val="20"/>
                <w:szCs w:val="20"/>
                <w:highlight w:val="none"/>
              </w:rPr>
              <w:t>三级指标</w:t>
            </w:r>
          </w:p>
        </w:tc>
        <w:tc>
          <w:tcPr>
            <w:tcW w:w="4237" w:type="dxa"/>
            <w:tcBorders>
              <w:top w:val="single" w:color="auto" w:sz="4" w:space="0"/>
              <w:left w:val="nil"/>
              <w:bottom w:val="single" w:color="auto" w:sz="4" w:space="0"/>
              <w:right w:val="single" w:color="auto" w:sz="4" w:space="0"/>
            </w:tcBorders>
            <w:noWrap/>
            <w:vAlign w:val="center"/>
          </w:tcPr>
          <w:p>
            <w:pPr>
              <w:spacing w:line="200" w:lineRule="exact"/>
              <w:jc w:val="center"/>
              <w:rPr>
                <w:rFonts w:eastAsia="宋体"/>
                <w:b/>
                <w:bCs/>
                <w:color w:val="000000"/>
                <w:kern w:val="0"/>
                <w:sz w:val="20"/>
                <w:szCs w:val="20"/>
                <w:highlight w:val="none"/>
              </w:rPr>
            </w:pPr>
            <w:r>
              <w:rPr>
                <w:rFonts w:hint="eastAsia" w:eastAsia="宋体" w:cs="宋体"/>
                <w:b/>
                <w:bCs/>
                <w:color w:val="000000"/>
                <w:kern w:val="0"/>
                <w:sz w:val="20"/>
                <w:szCs w:val="20"/>
                <w:highlight w:val="none"/>
              </w:rPr>
              <w:t>指标解释</w:t>
            </w:r>
          </w:p>
        </w:tc>
        <w:tc>
          <w:tcPr>
            <w:tcW w:w="4691" w:type="dxa"/>
            <w:tcBorders>
              <w:top w:val="single" w:color="auto" w:sz="4" w:space="0"/>
              <w:left w:val="nil"/>
              <w:bottom w:val="single" w:color="auto" w:sz="4" w:space="0"/>
              <w:right w:val="single" w:color="auto" w:sz="4" w:space="0"/>
            </w:tcBorders>
            <w:noWrap/>
            <w:vAlign w:val="center"/>
          </w:tcPr>
          <w:p>
            <w:pPr>
              <w:spacing w:line="200" w:lineRule="exact"/>
              <w:jc w:val="center"/>
              <w:rPr>
                <w:rFonts w:eastAsia="宋体"/>
                <w:b/>
                <w:bCs/>
                <w:color w:val="000000"/>
                <w:kern w:val="0"/>
                <w:sz w:val="20"/>
                <w:szCs w:val="20"/>
                <w:highlight w:val="none"/>
              </w:rPr>
            </w:pPr>
            <w:r>
              <w:rPr>
                <w:rFonts w:hint="eastAsia" w:eastAsia="宋体" w:cs="宋体"/>
                <w:b/>
                <w:bCs/>
                <w:color w:val="000000"/>
                <w:kern w:val="0"/>
                <w:sz w:val="20"/>
                <w:szCs w:val="20"/>
                <w:highlight w:val="none"/>
              </w:rPr>
              <w:t>计分标准（备注）</w:t>
            </w:r>
          </w:p>
        </w:tc>
        <w:tc>
          <w:tcPr>
            <w:tcW w:w="837" w:type="dxa"/>
            <w:tcBorders>
              <w:top w:val="single" w:color="auto" w:sz="4" w:space="0"/>
              <w:left w:val="nil"/>
              <w:bottom w:val="single" w:color="auto" w:sz="4" w:space="0"/>
              <w:right w:val="single" w:color="auto" w:sz="4" w:space="0"/>
            </w:tcBorders>
            <w:noWrap/>
          </w:tcPr>
          <w:p>
            <w:pPr>
              <w:spacing w:line="200" w:lineRule="exact"/>
              <w:jc w:val="center"/>
              <w:rPr>
                <w:rFonts w:eastAsia="宋体"/>
                <w:b/>
                <w:bCs/>
                <w:color w:val="000000"/>
                <w:kern w:val="0"/>
                <w:sz w:val="20"/>
                <w:szCs w:val="20"/>
                <w:highlight w:val="none"/>
              </w:rPr>
            </w:pPr>
            <w:r>
              <w:rPr>
                <w:rFonts w:hint="eastAsia" w:eastAsia="宋体" w:cs="宋体"/>
                <w:b/>
                <w:bCs/>
                <w:color w:val="000000"/>
                <w:kern w:val="0"/>
                <w:sz w:val="20"/>
                <w:szCs w:val="20"/>
                <w:highlight w:val="none"/>
              </w:rPr>
              <w:t>自评</w:t>
            </w:r>
          </w:p>
          <w:p>
            <w:pPr>
              <w:spacing w:line="200" w:lineRule="exact"/>
              <w:jc w:val="center"/>
              <w:rPr>
                <w:rFonts w:eastAsia="宋体"/>
                <w:b/>
                <w:bCs/>
                <w:color w:val="000000"/>
                <w:kern w:val="0"/>
                <w:sz w:val="20"/>
                <w:szCs w:val="20"/>
                <w:highlight w:val="none"/>
              </w:rPr>
            </w:pPr>
            <w:r>
              <w:rPr>
                <w:rFonts w:hint="eastAsia" w:eastAsia="宋体" w:cs="宋体"/>
                <w:b/>
                <w:bCs/>
                <w:color w:val="000000"/>
                <w:kern w:val="0"/>
                <w:sz w:val="20"/>
                <w:szCs w:val="20"/>
                <w:highlight w:val="none"/>
              </w:rPr>
              <w:t>得分</w:t>
            </w:r>
          </w:p>
        </w:tc>
        <w:tc>
          <w:tcPr>
            <w:tcW w:w="831" w:type="dxa"/>
            <w:tcBorders>
              <w:top w:val="single" w:color="auto" w:sz="4" w:space="0"/>
              <w:left w:val="nil"/>
              <w:bottom w:val="single" w:color="auto" w:sz="4" w:space="0"/>
              <w:right w:val="single" w:color="auto" w:sz="4" w:space="0"/>
            </w:tcBorders>
            <w:noWrap/>
          </w:tcPr>
          <w:p>
            <w:pPr>
              <w:spacing w:line="200" w:lineRule="exact"/>
              <w:rPr>
                <w:rFonts w:eastAsia="宋体"/>
                <w:b/>
                <w:bCs/>
                <w:color w:val="000000"/>
                <w:kern w:val="0"/>
                <w:sz w:val="20"/>
                <w:szCs w:val="20"/>
                <w:highlight w:val="none"/>
              </w:rPr>
            </w:pPr>
            <w:r>
              <w:rPr>
                <w:rFonts w:hint="eastAsia" w:eastAsia="宋体" w:cs="宋体"/>
                <w:b/>
                <w:bCs/>
                <w:color w:val="000000"/>
                <w:kern w:val="0"/>
                <w:sz w:val="20"/>
                <w:szCs w:val="20"/>
                <w:highlight w:val="none"/>
              </w:rPr>
              <w:t>财政复评得分</w:t>
            </w:r>
          </w:p>
        </w:tc>
      </w:tr>
      <w:tr>
        <w:tblPrEx>
          <w:tblCellMar>
            <w:top w:w="0" w:type="dxa"/>
            <w:left w:w="108" w:type="dxa"/>
            <w:bottom w:w="0" w:type="dxa"/>
            <w:right w:w="108" w:type="dxa"/>
          </w:tblCellMar>
        </w:tblPrEx>
        <w:trPr>
          <w:cantSplit/>
          <w:trHeight w:val="20" w:hRule="atLeast"/>
          <w:jc w:val="center"/>
        </w:trPr>
        <w:tc>
          <w:tcPr>
            <w:tcW w:w="704" w:type="dxa"/>
            <w:vMerge w:val="restart"/>
            <w:tcBorders>
              <w:top w:val="nil"/>
              <w:left w:val="single" w:color="auto" w:sz="4" w:space="0"/>
              <w:bottom w:val="single" w:color="000000" w:sz="4" w:space="0"/>
              <w:right w:val="single" w:color="auto" w:sz="4" w:space="0"/>
            </w:tcBorders>
            <w:noWrap/>
            <w:vAlign w:val="center"/>
          </w:tcPr>
          <w:p>
            <w:pPr>
              <w:spacing w:line="200" w:lineRule="exact"/>
              <w:jc w:val="center"/>
              <w:rPr>
                <w:rFonts w:eastAsia="宋体"/>
                <w:color w:val="000000"/>
                <w:kern w:val="0"/>
                <w:sz w:val="15"/>
                <w:szCs w:val="15"/>
                <w:highlight w:val="none"/>
              </w:rPr>
            </w:pPr>
            <w:r>
              <w:rPr>
                <w:rFonts w:hint="eastAsia" w:eastAsia="宋体" w:cs="宋体"/>
                <w:color w:val="000000"/>
                <w:kern w:val="0"/>
                <w:sz w:val="15"/>
                <w:szCs w:val="15"/>
                <w:highlight w:val="none"/>
              </w:rPr>
              <w:t>预算编制</w:t>
            </w:r>
          </w:p>
          <w:p>
            <w:pPr>
              <w:spacing w:line="200" w:lineRule="exact"/>
              <w:jc w:val="center"/>
              <w:rPr>
                <w:rFonts w:eastAsia="宋体"/>
                <w:color w:val="000000"/>
                <w:kern w:val="0"/>
                <w:sz w:val="15"/>
                <w:szCs w:val="15"/>
                <w:highlight w:val="none"/>
              </w:rPr>
            </w:pPr>
            <w:r>
              <w:rPr>
                <w:rFonts w:hint="eastAsia" w:eastAsia="宋体" w:cs="宋体"/>
                <w:color w:val="000000"/>
                <w:kern w:val="0"/>
                <w:sz w:val="15"/>
                <w:szCs w:val="15"/>
                <w:highlight w:val="none"/>
              </w:rPr>
              <w:t>（</w:t>
            </w:r>
            <w:r>
              <w:rPr>
                <w:rFonts w:eastAsia="宋体"/>
                <w:color w:val="000000"/>
                <w:kern w:val="0"/>
                <w:sz w:val="15"/>
                <w:szCs w:val="15"/>
                <w:highlight w:val="none"/>
              </w:rPr>
              <w:t>10</w:t>
            </w:r>
            <w:r>
              <w:rPr>
                <w:rFonts w:hint="eastAsia" w:eastAsia="宋体" w:cs="宋体"/>
                <w:color w:val="000000"/>
                <w:kern w:val="0"/>
                <w:sz w:val="15"/>
                <w:szCs w:val="15"/>
                <w:highlight w:val="none"/>
              </w:rPr>
              <w:t>分）</w:t>
            </w:r>
          </w:p>
        </w:tc>
        <w:tc>
          <w:tcPr>
            <w:tcW w:w="1276"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报送时效（</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基础信息更新（</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部门是否按照区级部门预算编制通知和有关要求，按时完成基础库、项目库报送工作</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超过规定</w:t>
            </w:r>
            <w:r>
              <w:rPr>
                <w:rFonts w:eastAsia="宋体"/>
                <w:color w:val="000000"/>
                <w:kern w:val="0"/>
                <w:sz w:val="15"/>
                <w:szCs w:val="15"/>
                <w:highlight w:val="none"/>
              </w:rPr>
              <w:t>5</w:t>
            </w:r>
            <w:r>
              <w:rPr>
                <w:rFonts w:hint="eastAsia" w:eastAsia="宋体" w:cs="宋体"/>
                <w:color w:val="000000"/>
                <w:kern w:val="0"/>
                <w:sz w:val="15"/>
                <w:szCs w:val="15"/>
                <w:highlight w:val="none"/>
              </w:rPr>
              <w:t>个工作日扣</w:t>
            </w:r>
            <w:r>
              <w:rPr>
                <w:rFonts w:eastAsia="宋体"/>
                <w:color w:val="000000"/>
                <w:kern w:val="0"/>
                <w:sz w:val="15"/>
                <w:szCs w:val="15"/>
                <w:highlight w:val="none"/>
              </w:rPr>
              <w:t>0.5</w:t>
            </w:r>
            <w:r>
              <w:rPr>
                <w:rFonts w:hint="eastAsia" w:eastAsia="宋体" w:cs="宋体"/>
                <w:color w:val="000000"/>
                <w:kern w:val="0"/>
                <w:sz w:val="15"/>
                <w:szCs w:val="15"/>
                <w:highlight w:val="none"/>
              </w:rPr>
              <w:t>分，</w:t>
            </w:r>
            <w:r>
              <w:rPr>
                <w:rFonts w:eastAsia="宋体"/>
                <w:color w:val="000000"/>
                <w:kern w:val="0"/>
                <w:sz w:val="15"/>
                <w:szCs w:val="15"/>
                <w:highlight w:val="none"/>
              </w:rPr>
              <w:t>10</w:t>
            </w:r>
            <w:r>
              <w:rPr>
                <w:rFonts w:hint="eastAsia" w:eastAsia="宋体" w:cs="宋体"/>
                <w:color w:val="000000"/>
                <w:kern w:val="0"/>
                <w:sz w:val="15"/>
                <w:szCs w:val="15"/>
                <w:highlight w:val="none"/>
              </w:rPr>
              <w:t>个工作日扣</w:t>
            </w:r>
            <w:r>
              <w:rPr>
                <w:rFonts w:eastAsia="宋体"/>
                <w:color w:val="000000"/>
                <w:kern w:val="0"/>
                <w:sz w:val="15"/>
                <w:szCs w:val="15"/>
                <w:highlight w:val="none"/>
              </w:rPr>
              <w:t>1</w:t>
            </w:r>
            <w:r>
              <w:rPr>
                <w:rFonts w:hint="eastAsia" w:eastAsia="宋体" w:cs="宋体"/>
                <w:color w:val="000000"/>
                <w:kern w:val="0"/>
                <w:sz w:val="15"/>
                <w:szCs w:val="15"/>
                <w:highlight w:val="none"/>
              </w:rPr>
              <w:t>分，以此类推，直至扣完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restart"/>
            <w:tcBorders>
              <w:top w:val="nil"/>
              <w:left w:val="single" w:color="auto" w:sz="4" w:space="0"/>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编制质量（</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预算编制准确（</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（预算资金总来源～中期评估调整取消资金～预算结余注销资金）</w:t>
            </w:r>
            <w:r>
              <w:rPr>
                <w:rFonts w:eastAsia="宋体"/>
                <w:color w:val="000000"/>
                <w:kern w:val="0"/>
                <w:sz w:val="15"/>
                <w:szCs w:val="15"/>
                <w:highlight w:val="none"/>
              </w:rPr>
              <w:t>÷</w:t>
            </w:r>
            <w:r>
              <w:rPr>
                <w:rFonts w:hint="eastAsia" w:eastAsia="宋体" w:cs="宋体"/>
                <w:color w:val="000000"/>
                <w:kern w:val="0"/>
                <w:sz w:val="15"/>
                <w:szCs w:val="15"/>
                <w:highlight w:val="none"/>
              </w:rPr>
              <w:t>预算资金总来源</w:t>
            </w:r>
            <w:r>
              <w:rPr>
                <w:rFonts w:eastAsia="宋体"/>
                <w:color w:val="000000"/>
                <w:kern w:val="0"/>
                <w:sz w:val="15"/>
                <w:szCs w:val="15"/>
                <w:highlight w:val="none"/>
              </w:rPr>
              <w:t>*</w:t>
            </w:r>
            <w:r>
              <w:rPr>
                <w:rFonts w:hint="eastAsia" w:eastAsia="宋体" w:cs="宋体"/>
                <w:color w:val="000000"/>
                <w:kern w:val="0"/>
                <w:sz w:val="15"/>
                <w:szCs w:val="15"/>
                <w:highlight w:val="none"/>
              </w:rPr>
              <w:t>指标分值</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其中：预算资金总来源是指区级年初预算与执行中追加预算（不含当年中央专款）总和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0.5</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部门预算审查（</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根据区人大财经委对预算草案审查结果进行考核</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对财经委审查后提出并确需修改的问题，每个问题扣</w:t>
            </w:r>
            <w:r>
              <w:rPr>
                <w:rFonts w:eastAsia="宋体"/>
                <w:color w:val="000000"/>
                <w:kern w:val="0"/>
                <w:sz w:val="15"/>
                <w:szCs w:val="15"/>
                <w:highlight w:val="none"/>
              </w:rPr>
              <w:t>0.02</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restart"/>
            <w:tcBorders>
              <w:top w:val="nil"/>
              <w:left w:val="single" w:color="auto" w:sz="4" w:space="0"/>
              <w:bottom w:val="single" w:color="000000"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绩效目标（</w:t>
            </w:r>
            <w:r>
              <w:rPr>
                <w:rFonts w:eastAsia="宋体"/>
                <w:color w:val="000000"/>
                <w:kern w:val="0"/>
                <w:sz w:val="15"/>
                <w:szCs w:val="15"/>
                <w:highlight w:val="none"/>
              </w:rPr>
              <w:t>5</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部门整体绩效目标（</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部门整体绩效目标编制完整、合理</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部门整体绩效目标能完整、合理反映部门年度职责履行情况的得分，否则不得分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重点项目绩效目标（</w:t>
            </w:r>
            <w:r>
              <w:rPr>
                <w:rFonts w:eastAsia="宋体"/>
                <w:color w:val="000000"/>
                <w:kern w:val="0"/>
                <w:sz w:val="15"/>
                <w:szCs w:val="15"/>
                <w:highlight w:val="none"/>
              </w:rPr>
              <w:t>3</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项目绩效目标编制明确、量化</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项目支出绩效目标编制不明确和量化的发现一个扣</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3</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276"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转移支付提前下达（1分）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转移支付提前下达（</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按规定提前下达转移支付</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未按规定提前下达转移支付的，按比例进行扣分。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276"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专项转移支付分地区分项目编制（1分）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专项转移支付分地区分项目编制（</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按规定分地区分项目编制专项转移支付</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未按规定编制的，按比例进行扣分。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90" w:hRule="atLeast"/>
          <w:jc w:val="center"/>
        </w:trPr>
        <w:tc>
          <w:tcPr>
            <w:tcW w:w="704" w:type="dxa"/>
            <w:vMerge w:val="restart"/>
            <w:tcBorders>
              <w:top w:val="nil"/>
              <w:left w:val="single" w:color="auto" w:sz="4" w:space="0"/>
              <w:bottom w:val="single" w:color="auto" w:sz="4" w:space="0"/>
              <w:right w:val="single" w:color="auto" w:sz="4" w:space="0"/>
            </w:tcBorders>
            <w:noWrap/>
            <w:vAlign w:val="center"/>
          </w:tcPr>
          <w:p>
            <w:pPr>
              <w:spacing w:line="200" w:lineRule="exact"/>
              <w:jc w:val="center"/>
              <w:rPr>
                <w:rFonts w:eastAsia="宋体"/>
                <w:color w:val="000000"/>
                <w:kern w:val="0"/>
                <w:sz w:val="15"/>
                <w:szCs w:val="15"/>
                <w:highlight w:val="none"/>
              </w:rPr>
            </w:pPr>
            <w:r>
              <w:rPr>
                <w:rFonts w:hint="eastAsia" w:eastAsia="宋体" w:cs="宋体"/>
                <w:color w:val="000000"/>
                <w:kern w:val="0"/>
                <w:sz w:val="15"/>
                <w:szCs w:val="15"/>
                <w:highlight w:val="none"/>
              </w:rPr>
              <w:t>预算执行</w:t>
            </w:r>
          </w:p>
          <w:p>
            <w:pPr>
              <w:spacing w:line="200" w:lineRule="exact"/>
              <w:jc w:val="center"/>
              <w:rPr>
                <w:rFonts w:eastAsia="宋体"/>
                <w:color w:val="000000"/>
                <w:kern w:val="0"/>
                <w:sz w:val="15"/>
                <w:szCs w:val="15"/>
                <w:highlight w:val="none"/>
              </w:rPr>
            </w:pPr>
            <w:r>
              <w:rPr>
                <w:rFonts w:hint="eastAsia" w:eastAsia="宋体" w:cs="宋体"/>
                <w:color w:val="000000"/>
                <w:kern w:val="0"/>
                <w:sz w:val="15"/>
                <w:szCs w:val="15"/>
                <w:highlight w:val="none"/>
              </w:rPr>
              <w:t>（</w:t>
            </w:r>
            <w:r>
              <w:rPr>
                <w:rFonts w:eastAsia="宋体"/>
                <w:color w:val="000000"/>
                <w:kern w:val="0"/>
                <w:sz w:val="15"/>
                <w:szCs w:val="15"/>
                <w:highlight w:val="none"/>
              </w:rPr>
              <w:t>20</w:t>
            </w:r>
            <w:r>
              <w:rPr>
                <w:rFonts w:hint="eastAsia" w:eastAsia="宋体" w:cs="宋体"/>
                <w:color w:val="000000"/>
                <w:kern w:val="0"/>
                <w:sz w:val="15"/>
                <w:szCs w:val="15"/>
                <w:highlight w:val="none"/>
              </w:rPr>
              <w:t>分）</w:t>
            </w:r>
          </w:p>
        </w:tc>
        <w:tc>
          <w:tcPr>
            <w:tcW w:w="1276" w:type="dxa"/>
            <w:vMerge w:val="restart"/>
            <w:tcBorders>
              <w:top w:val="nil"/>
              <w:left w:val="single" w:color="auto" w:sz="4" w:space="0"/>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执行进度（</w:t>
            </w:r>
            <w:r>
              <w:rPr>
                <w:rFonts w:eastAsia="宋体"/>
                <w:color w:val="000000"/>
                <w:kern w:val="0"/>
                <w:sz w:val="15"/>
                <w:szCs w:val="15"/>
                <w:highlight w:val="none"/>
              </w:rPr>
              <w:t>10</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区级财力专项预算分配时限（</w:t>
            </w:r>
            <w:r>
              <w:rPr>
                <w:rFonts w:eastAsia="宋体"/>
                <w:color w:val="000000"/>
                <w:kern w:val="0"/>
                <w:sz w:val="15"/>
                <w:szCs w:val="15"/>
                <w:highlight w:val="none"/>
              </w:rPr>
              <w:t>4</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按规定及时分配区级财力专项预算</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按《预算法》规定时限完成分配的考核得分，否则不得分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4</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中央专款分配合规率（</w:t>
            </w:r>
            <w:r>
              <w:rPr>
                <w:rFonts w:eastAsia="宋体"/>
                <w:color w:val="000000"/>
                <w:kern w:val="0"/>
                <w:sz w:val="15"/>
                <w:szCs w:val="15"/>
                <w:highlight w:val="none"/>
              </w:rPr>
              <w:t>3</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按《预算法》规定在一个月内分配中央专款</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w:t>
            </w:r>
            <w:r>
              <w:rPr>
                <w:rFonts w:eastAsia="宋体"/>
                <w:color w:val="000000"/>
                <w:kern w:val="0"/>
                <w:sz w:val="15"/>
                <w:szCs w:val="15"/>
                <w:highlight w:val="none"/>
              </w:rPr>
              <w:t>1</w:t>
            </w:r>
            <w:r>
              <w:rPr>
                <w:rFonts w:hint="eastAsia" w:eastAsia="宋体" w:cs="宋体"/>
                <w:color w:val="000000"/>
                <w:kern w:val="0"/>
                <w:sz w:val="15"/>
                <w:szCs w:val="15"/>
                <w:highlight w:val="none"/>
              </w:rPr>
              <w:t>～未按规定时间在</w:t>
            </w:r>
            <w:r>
              <w:rPr>
                <w:rFonts w:eastAsia="宋体"/>
                <w:color w:val="000000"/>
                <w:kern w:val="0"/>
                <w:sz w:val="15"/>
                <w:szCs w:val="15"/>
                <w:highlight w:val="none"/>
              </w:rPr>
              <w:t>1</w:t>
            </w:r>
            <w:r>
              <w:rPr>
                <w:rFonts w:hint="eastAsia" w:eastAsia="宋体" w:cs="宋体"/>
                <w:color w:val="000000"/>
                <w:kern w:val="0"/>
                <w:sz w:val="15"/>
                <w:szCs w:val="15"/>
                <w:highlight w:val="none"/>
              </w:rPr>
              <w:t>个月内分配的中央专款规模</w:t>
            </w:r>
            <w:r>
              <w:rPr>
                <w:rFonts w:eastAsia="宋体"/>
                <w:color w:val="000000"/>
                <w:kern w:val="0"/>
                <w:sz w:val="15"/>
                <w:szCs w:val="15"/>
                <w:highlight w:val="none"/>
              </w:rPr>
              <w:t>÷</w:t>
            </w:r>
            <w:r>
              <w:rPr>
                <w:rFonts w:hint="eastAsia" w:eastAsia="宋体" w:cs="宋体"/>
                <w:color w:val="000000"/>
                <w:kern w:val="0"/>
                <w:sz w:val="15"/>
                <w:szCs w:val="15"/>
                <w:highlight w:val="none"/>
              </w:rPr>
              <w:t>中央专款总规模）</w:t>
            </w:r>
            <w:r>
              <w:rPr>
                <w:rFonts w:eastAsia="宋体"/>
                <w:color w:val="000000"/>
                <w:kern w:val="0"/>
                <w:sz w:val="15"/>
                <w:szCs w:val="15"/>
                <w:highlight w:val="none"/>
              </w:rPr>
              <w:t>*</w:t>
            </w:r>
            <w:r>
              <w:rPr>
                <w:rFonts w:hint="eastAsia" w:eastAsia="宋体" w:cs="宋体"/>
                <w:color w:val="000000"/>
                <w:kern w:val="0"/>
                <w:sz w:val="15"/>
                <w:szCs w:val="15"/>
                <w:highlight w:val="none"/>
              </w:rPr>
              <w:t>指标分值</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3</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90" w:hRule="atLeast"/>
          <w:jc w:val="center"/>
        </w:trPr>
        <w:tc>
          <w:tcPr>
            <w:tcW w:w="704"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部门预算执行进度（</w:t>
            </w:r>
            <w:r>
              <w:rPr>
                <w:rFonts w:eastAsia="宋体"/>
                <w:color w:val="000000"/>
                <w:kern w:val="0"/>
                <w:sz w:val="15"/>
                <w:szCs w:val="15"/>
                <w:highlight w:val="none"/>
              </w:rPr>
              <w:t>3</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部门按要求严格预算执行管理</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部门预算实际列支数</w:t>
            </w:r>
            <w:r>
              <w:rPr>
                <w:rFonts w:eastAsia="宋体"/>
                <w:color w:val="000000"/>
                <w:kern w:val="0"/>
                <w:sz w:val="15"/>
                <w:szCs w:val="15"/>
                <w:highlight w:val="none"/>
              </w:rPr>
              <w:t>÷</w:t>
            </w:r>
            <w:r>
              <w:rPr>
                <w:rFonts w:hint="eastAsia" w:eastAsia="宋体" w:cs="宋体"/>
                <w:color w:val="000000"/>
                <w:kern w:val="0"/>
                <w:sz w:val="15"/>
                <w:szCs w:val="15"/>
                <w:highlight w:val="none"/>
              </w:rPr>
              <w:t>部门预算总额</w:t>
            </w:r>
            <w:r>
              <w:rPr>
                <w:rFonts w:eastAsia="宋体"/>
                <w:color w:val="000000"/>
                <w:kern w:val="0"/>
                <w:sz w:val="15"/>
                <w:szCs w:val="15"/>
                <w:highlight w:val="none"/>
              </w:rPr>
              <w:t>*</w:t>
            </w:r>
            <w:r>
              <w:rPr>
                <w:rFonts w:hint="eastAsia" w:eastAsia="宋体" w:cs="宋体"/>
                <w:color w:val="000000"/>
                <w:kern w:val="0"/>
                <w:sz w:val="15"/>
                <w:szCs w:val="15"/>
                <w:highlight w:val="none"/>
              </w:rPr>
              <w:t>指标分值</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3</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276"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预算调整（</w:t>
            </w:r>
            <w:r>
              <w:rPr>
                <w:rFonts w:eastAsia="宋体"/>
                <w:color w:val="000000"/>
                <w:kern w:val="0"/>
                <w:sz w:val="15"/>
                <w:szCs w:val="15"/>
                <w:highlight w:val="none"/>
              </w:rPr>
              <w:t>4</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执行中期评估（</w:t>
            </w:r>
            <w:r>
              <w:rPr>
                <w:rFonts w:eastAsia="宋体"/>
                <w:color w:val="000000"/>
                <w:kern w:val="0"/>
                <w:sz w:val="15"/>
                <w:szCs w:val="15"/>
                <w:highlight w:val="none"/>
              </w:rPr>
              <w:t>4</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部门中期评估调整取消资金</w:t>
            </w:r>
            <w:r>
              <w:rPr>
                <w:rFonts w:eastAsia="宋体"/>
                <w:color w:val="000000"/>
                <w:kern w:val="0"/>
                <w:sz w:val="15"/>
                <w:szCs w:val="15"/>
                <w:highlight w:val="none"/>
              </w:rPr>
              <w:t>÷(</w:t>
            </w:r>
            <w:r>
              <w:rPr>
                <w:rFonts w:hint="eastAsia" w:eastAsia="宋体" w:cs="宋体"/>
                <w:color w:val="000000"/>
                <w:kern w:val="0"/>
                <w:sz w:val="15"/>
                <w:szCs w:val="15"/>
                <w:highlight w:val="none"/>
              </w:rPr>
              <w:t>中期评估调整取消资金</w:t>
            </w:r>
            <w:r>
              <w:rPr>
                <w:rFonts w:eastAsia="宋体"/>
                <w:color w:val="000000"/>
                <w:kern w:val="0"/>
                <w:sz w:val="15"/>
                <w:szCs w:val="15"/>
                <w:highlight w:val="none"/>
              </w:rPr>
              <w:t>+</w:t>
            </w:r>
            <w:r>
              <w:rPr>
                <w:rFonts w:hint="eastAsia" w:eastAsia="宋体" w:cs="宋体"/>
                <w:color w:val="000000"/>
                <w:kern w:val="0"/>
                <w:sz w:val="15"/>
                <w:szCs w:val="15"/>
                <w:highlight w:val="none"/>
              </w:rPr>
              <w:t>预算结余注销资金）</w:t>
            </w:r>
            <w:r>
              <w:rPr>
                <w:rFonts w:eastAsia="宋体"/>
                <w:color w:val="000000"/>
                <w:kern w:val="0"/>
                <w:sz w:val="15"/>
                <w:szCs w:val="15"/>
                <w:highlight w:val="none"/>
              </w:rPr>
              <w:t>*</w:t>
            </w:r>
            <w:r>
              <w:rPr>
                <w:rFonts w:hint="eastAsia" w:eastAsia="宋体" w:cs="宋体"/>
                <w:color w:val="000000"/>
                <w:kern w:val="0"/>
                <w:sz w:val="15"/>
                <w:szCs w:val="15"/>
                <w:highlight w:val="none"/>
              </w:rPr>
              <w:t>指标分值</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当中期评估调整取消资金与结余注销资金之和为零时，得满分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4</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276" w:type="dxa"/>
            <w:vMerge w:val="restart"/>
            <w:tcBorders>
              <w:top w:val="nil"/>
              <w:left w:val="single" w:color="auto" w:sz="4" w:space="0"/>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行政成本（</w:t>
            </w:r>
            <w:r>
              <w:rPr>
                <w:rFonts w:eastAsia="宋体"/>
                <w:color w:val="000000"/>
                <w:kern w:val="0"/>
                <w:sz w:val="15"/>
                <w:szCs w:val="15"/>
                <w:highlight w:val="none"/>
              </w:rPr>
              <w:t>6</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节能降耗（</w:t>
            </w:r>
            <w:r>
              <w:rPr>
                <w:rFonts w:eastAsia="宋体"/>
                <w:color w:val="000000"/>
                <w:kern w:val="0"/>
                <w:sz w:val="15"/>
                <w:szCs w:val="15"/>
                <w:highlight w:val="none"/>
              </w:rPr>
              <w:t>3</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严格执行节能降耗</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根据</w:t>
            </w:r>
            <w:r>
              <w:rPr>
                <w:rFonts w:hint="eastAsia" w:eastAsia="宋体" w:cs="宋体"/>
                <w:kern w:val="0"/>
                <w:sz w:val="15"/>
                <w:szCs w:val="15"/>
                <w:highlight w:val="none"/>
              </w:rPr>
              <w:t>机关事务管理中心节</w:t>
            </w:r>
            <w:r>
              <w:rPr>
                <w:rFonts w:hint="eastAsia" w:eastAsia="宋体" w:cs="宋体"/>
                <w:color w:val="000000"/>
                <w:kern w:val="0"/>
                <w:sz w:val="15"/>
                <w:szCs w:val="15"/>
                <w:highlight w:val="none"/>
              </w:rPr>
              <w:t>能考核换算得分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3</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三公经费（</w:t>
            </w:r>
            <w:r>
              <w:rPr>
                <w:rFonts w:eastAsia="宋体"/>
                <w:color w:val="000000"/>
                <w:kern w:val="0"/>
                <w:sz w:val="15"/>
                <w:szCs w:val="15"/>
                <w:highlight w:val="none"/>
              </w:rPr>
              <w:t>3</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严格执行</w:t>
            </w:r>
            <w:r>
              <w:rPr>
                <w:rFonts w:eastAsia="宋体"/>
                <w:color w:val="000000"/>
                <w:kern w:val="0"/>
                <w:sz w:val="15"/>
                <w:szCs w:val="15"/>
                <w:highlight w:val="none"/>
              </w:rPr>
              <w:t>“</w:t>
            </w:r>
            <w:r>
              <w:rPr>
                <w:rFonts w:hint="eastAsia" w:eastAsia="宋体" w:cs="宋体"/>
                <w:color w:val="000000"/>
                <w:kern w:val="0"/>
                <w:sz w:val="15"/>
                <w:szCs w:val="15"/>
                <w:highlight w:val="none"/>
              </w:rPr>
              <w:t>三公经费</w:t>
            </w:r>
            <w:r>
              <w:rPr>
                <w:rFonts w:eastAsia="宋体"/>
                <w:color w:val="000000"/>
                <w:kern w:val="0"/>
                <w:sz w:val="15"/>
                <w:szCs w:val="15"/>
                <w:highlight w:val="none"/>
              </w:rPr>
              <w:t>”</w:t>
            </w:r>
            <w:r>
              <w:rPr>
                <w:rFonts w:hint="eastAsia" w:eastAsia="宋体" w:cs="宋体"/>
                <w:color w:val="000000"/>
                <w:kern w:val="0"/>
                <w:sz w:val="15"/>
                <w:szCs w:val="15"/>
                <w:highlight w:val="none"/>
              </w:rPr>
              <w:t>预算</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w:t>
            </w:r>
            <w:r>
              <w:rPr>
                <w:rFonts w:eastAsia="宋体"/>
                <w:color w:val="000000"/>
                <w:kern w:val="0"/>
                <w:sz w:val="15"/>
                <w:szCs w:val="15"/>
                <w:highlight w:val="none"/>
              </w:rPr>
              <w:t>“</w:t>
            </w:r>
            <w:r>
              <w:rPr>
                <w:rFonts w:hint="eastAsia" w:eastAsia="宋体" w:cs="宋体"/>
                <w:color w:val="000000"/>
                <w:kern w:val="0"/>
                <w:sz w:val="15"/>
                <w:szCs w:val="15"/>
                <w:highlight w:val="none"/>
              </w:rPr>
              <w:t>三公</w:t>
            </w:r>
            <w:r>
              <w:rPr>
                <w:rFonts w:eastAsia="宋体"/>
                <w:color w:val="000000"/>
                <w:kern w:val="0"/>
                <w:sz w:val="15"/>
                <w:szCs w:val="15"/>
                <w:highlight w:val="none"/>
              </w:rPr>
              <w:t>”</w:t>
            </w:r>
            <w:r>
              <w:rPr>
                <w:rFonts w:hint="eastAsia" w:eastAsia="宋体" w:cs="宋体"/>
                <w:color w:val="000000"/>
                <w:kern w:val="0"/>
                <w:sz w:val="15"/>
                <w:szCs w:val="15"/>
                <w:highlight w:val="none"/>
              </w:rPr>
              <w:t>经费决算数一项超预算扣</w:t>
            </w:r>
            <w:r>
              <w:rPr>
                <w:rFonts w:eastAsia="宋体"/>
                <w:color w:val="000000"/>
                <w:kern w:val="0"/>
                <w:sz w:val="15"/>
                <w:szCs w:val="15"/>
                <w:highlight w:val="none"/>
              </w:rPr>
              <w:t>1</w:t>
            </w:r>
            <w:r>
              <w:rPr>
                <w:rFonts w:hint="eastAsia" w:eastAsia="宋体" w:cs="宋体"/>
                <w:color w:val="000000"/>
                <w:kern w:val="0"/>
                <w:sz w:val="15"/>
                <w:szCs w:val="15"/>
                <w:highlight w:val="none"/>
              </w:rPr>
              <w:t>分，两项超预算扣</w:t>
            </w:r>
            <w:r>
              <w:rPr>
                <w:rFonts w:eastAsia="宋体"/>
                <w:color w:val="000000"/>
                <w:kern w:val="0"/>
                <w:sz w:val="15"/>
                <w:szCs w:val="15"/>
                <w:highlight w:val="none"/>
              </w:rPr>
              <w:t>2</w:t>
            </w:r>
            <w:r>
              <w:rPr>
                <w:rFonts w:hint="eastAsia" w:eastAsia="宋体" w:cs="宋体"/>
                <w:color w:val="000000"/>
                <w:kern w:val="0"/>
                <w:sz w:val="15"/>
                <w:szCs w:val="15"/>
                <w:highlight w:val="none"/>
              </w:rPr>
              <w:t>分，以此类推，直至扣完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3</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restart"/>
            <w:tcBorders>
              <w:top w:val="single" w:color="auto" w:sz="4" w:space="0"/>
              <w:left w:val="single" w:color="auto" w:sz="4" w:space="0"/>
              <w:bottom w:val="single" w:color="000000" w:sz="4" w:space="0"/>
              <w:right w:val="single" w:color="auto" w:sz="4" w:space="0"/>
            </w:tcBorders>
            <w:noWrap/>
            <w:vAlign w:val="center"/>
          </w:tcPr>
          <w:p>
            <w:pPr>
              <w:spacing w:line="200" w:lineRule="exact"/>
              <w:jc w:val="center"/>
              <w:rPr>
                <w:rFonts w:eastAsia="宋体"/>
                <w:color w:val="000000"/>
                <w:kern w:val="0"/>
                <w:sz w:val="15"/>
                <w:szCs w:val="15"/>
                <w:highlight w:val="none"/>
              </w:rPr>
            </w:pPr>
            <w:r>
              <w:rPr>
                <w:rFonts w:hint="eastAsia" w:eastAsia="宋体" w:cs="宋体"/>
                <w:color w:val="000000"/>
                <w:kern w:val="0"/>
                <w:sz w:val="15"/>
                <w:szCs w:val="15"/>
                <w:highlight w:val="none"/>
              </w:rPr>
              <w:t>综合管理</w:t>
            </w:r>
          </w:p>
          <w:p>
            <w:pPr>
              <w:spacing w:line="200" w:lineRule="exact"/>
              <w:jc w:val="center"/>
              <w:rPr>
                <w:rFonts w:eastAsia="宋体"/>
                <w:color w:val="000000"/>
                <w:kern w:val="0"/>
                <w:sz w:val="15"/>
                <w:szCs w:val="15"/>
                <w:highlight w:val="none"/>
              </w:rPr>
            </w:pPr>
            <w:r>
              <w:rPr>
                <w:rFonts w:hint="eastAsia" w:eastAsia="宋体" w:cs="宋体"/>
                <w:color w:val="000000"/>
                <w:kern w:val="0"/>
                <w:sz w:val="15"/>
                <w:szCs w:val="15"/>
                <w:highlight w:val="none"/>
              </w:rPr>
              <w:t>（</w:t>
            </w:r>
            <w:r>
              <w:rPr>
                <w:rFonts w:eastAsia="宋体"/>
                <w:color w:val="000000"/>
                <w:kern w:val="0"/>
                <w:sz w:val="15"/>
                <w:szCs w:val="15"/>
                <w:highlight w:val="none"/>
              </w:rPr>
              <w:t>40</w:t>
            </w:r>
            <w:r>
              <w:rPr>
                <w:rFonts w:hint="eastAsia" w:eastAsia="宋体" w:cs="宋体"/>
                <w:color w:val="000000"/>
                <w:kern w:val="0"/>
                <w:sz w:val="15"/>
                <w:szCs w:val="15"/>
                <w:highlight w:val="none"/>
              </w:rPr>
              <w:t>分）</w:t>
            </w:r>
          </w:p>
        </w:tc>
        <w:tc>
          <w:tcPr>
            <w:tcW w:w="1276"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债务管理（</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1984"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债务还本付息（</w:t>
            </w:r>
            <w:r>
              <w:rPr>
                <w:rFonts w:eastAsia="宋体"/>
                <w:color w:val="000000"/>
                <w:kern w:val="0"/>
                <w:sz w:val="15"/>
                <w:szCs w:val="15"/>
                <w:highlight w:val="none"/>
              </w:rPr>
              <w:t>2</w:t>
            </w:r>
            <w:r>
              <w:rPr>
                <w:rFonts w:hint="eastAsia" w:eastAsia="宋体" w:cs="宋体"/>
                <w:color w:val="000000"/>
                <w:kern w:val="0"/>
                <w:sz w:val="15"/>
                <w:szCs w:val="15"/>
                <w:highlight w:val="none"/>
              </w:rPr>
              <w:t>）</w:t>
            </w:r>
          </w:p>
        </w:tc>
        <w:tc>
          <w:tcPr>
            <w:tcW w:w="4237"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按规定做好政府性债务还本付息工作</w:t>
            </w:r>
          </w:p>
        </w:tc>
        <w:tc>
          <w:tcPr>
            <w:tcW w:w="4691"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实际还本付息金额</w:t>
            </w:r>
            <w:r>
              <w:rPr>
                <w:rFonts w:eastAsia="宋体"/>
                <w:color w:val="000000"/>
                <w:kern w:val="0"/>
                <w:sz w:val="15"/>
                <w:szCs w:val="15"/>
                <w:highlight w:val="none"/>
              </w:rPr>
              <w:t>÷</w:t>
            </w:r>
            <w:r>
              <w:rPr>
                <w:rFonts w:hint="eastAsia" w:eastAsia="宋体" w:cs="宋体"/>
                <w:color w:val="000000"/>
                <w:kern w:val="0"/>
                <w:sz w:val="15"/>
                <w:szCs w:val="15"/>
                <w:highlight w:val="none"/>
              </w:rPr>
              <w:t>应付金额</w:t>
            </w:r>
            <w:r>
              <w:rPr>
                <w:rFonts w:eastAsia="宋体"/>
                <w:color w:val="000000"/>
                <w:kern w:val="0"/>
                <w:sz w:val="15"/>
                <w:szCs w:val="15"/>
                <w:highlight w:val="none"/>
              </w:rPr>
              <w:t>×</w:t>
            </w:r>
            <w:r>
              <w:rPr>
                <w:rFonts w:hint="eastAsia" w:eastAsia="宋体" w:cs="宋体"/>
                <w:color w:val="000000"/>
                <w:kern w:val="0"/>
                <w:sz w:val="15"/>
                <w:szCs w:val="15"/>
                <w:highlight w:val="none"/>
              </w:rPr>
              <w:t>指标分值</w:t>
            </w:r>
          </w:p>
        </w:tc>
        <w:tc>
          <w:tcPr>
            <w:tcW w:w="837"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restart"/>
            <w:tcBorders>
              <w:top w:val="single" w:color="auto" w:sz="4" w:space="0"/>
              <w:left w:val="single" w:color="auto" w:sz="4" w:space="0"/>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非税收入执收情况（</w:t>
            </w:r>
            <w:r>
              <w:rPr>
                <w:rFonts w:eastAsia="宋体"/>
                <w:color w:val="000000"/>
                <w:kern w:val="0"/>
                <w:sz w:val="15"/>
                <w:szCs w:val="15"/>
                <w:highlight w:val="none"/>
              </w:rPr>
              <w:t>4</w:t>
            </w:r>
            <w:r>
              <w:rPr>
                <w:rFonts w:hint="eastAsia" w:eastAsia="宋体" w:cs="宋体"/>
                <w:color w:val="000000"/>
                <w:kern w:val="0"/>
                <w:sz w:val="15"/>
                <w:szCs w:val="15"/>
                <w:highlight w:val="none"/>
              </w:rPr>
              <w:t>分）</w:t>
            </w:r>
          </w:p>
        </w:tc>
        <w:tc>
          <w:tcPr>
            <w:tcW w:w="1984"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非税收入征收情况（</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是否按照规定的项目、标准、征收方式执收非税收入，非税收入项目设立的权限和缓减免的依据，对非税收入进行缓减免</w:t>
            </w:r>
          </w:p>
        </w:tc>
        <w:tc>
          <w:tcPr>
            <w:tcW w:w="4691"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发现有未按规定的非税收入项目、标准执收非税收入或有违反规定缓减免非税收入的，发现一次扣</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single" w:color="auto" w:sz="4" w:space="0"/>
              <w:left w:val="single" w:color="auto" w:sz="4" w:space="0"/>
              <w:bottom w:val="single" w:color="auto" w:sz="4" w:space="0"/>
              <w:right w:val="single" w:color="auto" w:sz="4" w:space="0"/>
            </w:tcBorders>
            <w:noWrap/>
            <w:vAlign w:val="center"/>
          </w:tcPr>
          <w:p>
            <w:pPr>
              <w:rPr>
                <w:sz w:val="20"/>
                <w:szCs w:val="20"/>
                <w:highlight w:val="none"/>
              </w:rPr>
            </w:pPr>
          </w:p>
        </w:tc>
        <w:tc>
          <w:tcPr>
            <w:tcW w:w="1984"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非税收入上缴情况（</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是否及时足额将非税收入缴入财政</w:t>
            </w:r>
          </w:p>
        </w:tc>
        <w:tc>
          <w:tcPr>
            <w:tcW w:w="4691"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发现未及时足额将非税收入缴入财政的或者截留、挪用非税收入的，发现一次扣</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9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restart"/>
            <w:tcBorders>
              <w:top w:val="single" w:color="auto" w:sz="4" w:space="0"/>
              <w:left w:val="single" w:color="auto" w:sz="4" w:space="0"/>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政府采购实施计划（</w:t>
            </w:r>
            <w:r>
              <w:rPr>
                <w:rFonts w:eastAsia="宋体"/>
                <w:color w:val="000000"/>
                <w:kern w:val="0"/>
                <w:sz w:val="15"/>
                <w:szCs w:val="15"/>
                <w:highlight w:val="none"/>
              </w:rPr>
              <w:t>4</w:t>
            </w:r>
            <w:r>
              <w:rPr>
                <w:rFonts w:hint="eastAsia" w:eastAsia="宋体" w:cs="宋体"/>
                <w:color w:val="000000"/>
                <w:kern w:val="0"/>
                <w:sz w:val="15"/>
                <w:szCs w:val="15"/>
                <w:highlight w:val="none"/>
              </w:rPr>
              <w:t>分）</w:t>
            </w:r>
          </w:p>
        </w:tc>
        <w:tc>
          <w:tcPr>
            <w:tcW w:w="1984"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政府采购实施计划编制（</w:t>
            </w:r>
            <w:r>
              <w:rPr>
                <w:rFonts w:eastAsia="宋体"/>
                <w:color w:val="000000"/>
                <w:kern w:val="0"/>
                <w:sz w:val="15"/>
                <w:szCs w:val="15"/>
                <w:highlight w:val="none"/>
              </w:rPr>
              <w:t>2</w:t>
            </w:r>
            <w:r>
              <w:rPr>
                <w:rFonts w:hint="eastAsia" w:eastAsia="宋体" w:cs="宋体"/>
                <w:color w:val="000000"/>
                <w:kern w:val="0"/>
                <w:sz w:val="15"/>
                <w:szCs w:val="15"/>
                <w:highlight w:val="none"/>
              </w:rPr>
              <w:t>）</w:t>
            </w:r>
          </w:p>
        </w:tc>
        <w:tc>
          <w:tcPr>
            <w:tcW w:w="4237"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实施计划与政府采购预算的一致性</w:t>
            </w:r>
          </w:p>
        </w:tc>
        <w:tc>
          <w:tcPr>
            <w:tcW w:w="4691"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w:t>
            </w:r>
            <w:r>
              <w:rPr>
                <w:rFonts w:eastAsia="宋体"/>
                <w:color w:val="000000"/>
                <w:kern w:val="0"/>
                <w:sz w:val="15"/>
                <w:szCs w:val="15"/>
                <w:highlight w:val="none"/>
              </w:rPr>
              <w:t>1</w:t>
            </w:r>
            <w:r>
              <w:rPr>
                <w:rFonts w:hint="eastAsia" w:eastAsia="宋体" w:cs="宋体"/>
                <w:color w:val="000000"/>
                <w:kern w:val="0"/>
                <w:sz w:val="15"/>
                <w:szCs w:val="15"/>
                <w:highlight w:val="none"/>
              </w:rPr>
              <w:t>～调整或细化资金</w:t>
            </w:r>
            <w:r>
              <w:rPr>
                <w:rFonts w:eastAsia="宋体"/>
                <w:color w:val="000000"/>
                <w:kern w:val="0"/>
                <w:sz w:val="15"/>
                <w:szCs w:val="15"/>
                <w:highlight w:val="none"/>
              </w:rPr>
              <w:t>/</w:t>
            </w:r>
            <w:r>
              <w:rPr>
                <w:rFonts w:hint="eastAsia" w:eastAsia="宋体" w:cs="宋体"/>
                <w:color w:val="000000"/>
                <w:kern w:val="0"/>
                <w:sz w:val="15"/>
                <w:szCs w:val="15"/>
                <w:highlight w:val="none"/>
              </w:rPr>
              <w:t>政府采购预算资金）</w:t>
            </w:r>
            <w:r>
              <w:rPr>
                <w:rFonts w:eastAsia="宋体"/>
                <w:color w:val="000000"/>
                <w:kern w:val="0"/>
                <w:sz w:val="15"/>
                <w:szCs w:val="15"/>
                <w:highlight w:val="none"/>
              </w:rPr>
              <w:t>*</w:t>
            </w:r>
            <w:r>
              <w:rPr>
                <w:rFonts w:hint="eastAsia" w:eastAsia="宋体" w:cs="宋体"/>
                <w:color w:val="000000"/>
                <w:kern w:val="0"/>
                <w:sz w:val="15"/>
                <w:szCs w:val="15"/>
                <w:highlight w:val="none"/>
              </w:rPr>
              <w:t>分值</w:t>
            </w:r>
          </w:p>
        </w:tc>
        <w:tc>
          <w:tcPr>
            <w:tcW w:w="837"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w:t>
            </w:r>
          </w:p>
        </w:tc>
        <w:tc>
          <w:tcPr>
            <w:tcW w:w="831"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single" w:color="auto" w:sz="4" w:space="0"/>
              <w:left w:val="single" w:color="auto" w:sz="4" w:space="0"/>
              <w:bottom w:val="single" w:color="auto" w:sz="4" w:space="0"/>
              <w:right w:val="single" w:color="auto" w:sz="4" w:space="0"/>
            </w:tcBorders>
            <w:noWrap/>
            <w:vAlign w:val="center"/>
          </w:tcPr>
          <w:p>
            <w:pPr>
              <w:rPr>
                <w:sz w:val="20"/>
                <w:szCs w:val="20"/>
                <w:highlight w:val="none"/>
              </w:rPr>
            </w:pPr>
          </w:p>
        </w:tc>
        <w:tc>
          <w:tcPr>
            <w:tcW w:w="1984"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政府采购实施计划的执行（</w:t>
            </w:r>
            <w:r>
              <w:rPr>
                <w:rFonts w:eastAsia="宋体"/>
                <w:color w:val="000000"/>
                <w:kern w:val="0"/>
                <w:sz w:val="15"/>
                <w:szCs w:val="15"/>
                <w:highlight w:val="none"/>
              </w:rPr>
              <w:t>2</w:t>
            </w:r>
            <w:r>
              <w:rPr>
                <w:rFonts w:hint="eastAsia" w:eastAsia="宋体" w:cs="宋体"/>
                <w:color w:val="000000"/>
                <w:kern w:val="0"/>
                <w:sz w:val="15"/>
                <w:szCs w:val="15"/>
                <w:highlight w:val="none"/>
              </w:rPr>
              <w:t>）</w:t>
            </w:r>
          </w:p>
        </w:tc>
        <w:tc>
          <w:tcPr>
            <w:tcW w:w="4237"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执行的实施计划与备案的实施计划的一致性</w:t>
            </w:r>
          </w:p>
        </w:tc>
        <w:tc>
          <w:tcPr>
            <w:tcW w:w="4691"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w:t>
            </w:r>
            <w:r>
              <w:rPr>
                <w:rFonts w:eastAsia="宋体"/>
                <w:color w:val="000000"/>
                <w:kern w:val="0"/>
                <w:sz w:val="15"/>
                <w:szCs w:val="15"/>
                <w:highlight w:val="none"/>
              </w:rPr>
              <w:t>1</w:t>
            </w:r>
            <w:r>
              <w:rPr>
                <w:rFonts w:hint="eastAsia" w:eastAsia="宋体" w:cs="宋体"/>
                <w:color w:val="000000"/>
                <w:kern w:val="0"/>
                <w:sz w:val="15"/>
                <w:szCs w:val="15"/>
                <w:highlight w:val="none"/>
              </w:rPr>
              <w:t>～实施计划备案后的调整或细化资金</w:t>
            </w:r>
            <w:r>
              <w:rPr>
                <w:rFonts w:eastAsia="宋体"/>
                <w:color w:val="000000"/>
                <w:kern w:val="0"/>
                <w:sz w:val="15"/>
                <w:szCs w:val="15"/>
                <w:highlight w:val="none"/>
              </w:rPr>
              <w:t>/</w:t>
            </w:r>
            <w:r>
              <w:rPr>
                <w:rFonts w:hint="eastAsia" w:eastAsia="宋体" w:cs="宋体"/>
                <w:color w:val="000000"/>
                <w:kern w:val="0"/>
                <w:sz w:val="15"/>
                <w:szCs w:val="15"/>
                <w:highlight w:val="none"/>
              </w:rPr>
              <w:t>实施计划备案后的资金）</w:t>
            </w:r>
            <w:r>
              <w:rPr>
                <w:rFonts w:eastAsia="宋体"/>
                <w:color w:val="000000"/>
                <w:kern w:val="0"/>
                <w:sz w:val="15"/>
                <w:szCs w:val="15"/>
                <w:highlight w:val="none"/>
              </w:rPr>
              <w:t>*</w:t>
            </w:r>
            <w:r>
              <w:rPr>
                <w:rFonts w:hint="eastAsia" w:eastAsia="宋体" w:cs="宋体"/>
                <w:color w:val="000000"/>
                <w:kern w:val="0"/>
                <w:sz w:val="15"/>
                <w:szCs w:val="15"/>
                <w:highlight w:val="none"/>
              </w:rPr>
              <w:t>分值</w:t>
            </w:r>
          </w:p>
        </w:tc>
        <w:tc>
          <w:tcPr>
            <w:tcW w:w="837"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w:t>
            </w:r>
          </w:p>
        </w:tc>
        <w:tc>
          <w:tcPr>
            <w:tcW w:w="831"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restart"/>
            <w:tcBorders>
              <w:top w:val="single" w:color="auto" w:sz="4" w:space="0"/>
              <w:left w:val="single" w:color="auto" w:sz="4" w:space="0"/>
              <w:bottom w:val="single" w:color="000000"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资产管理（</w:t>
            </w:r>
            <w:r>
              <w:rPr>
                <w:rFonts w:eastAsia="宋体"/>
                <w:color w:val="000000"/>
                <w:kern w:val="0"/>
                <w:sz w:val="15"/>
                <w:szCs w:val="15"/>
                <w:highlight w:val="none"/>
              </w:rPr>
              <w:t>6</w:t>
            </w:r>
            <w:r>
              <w:rPr>
                <w:rFonts w:hint="eastAsia" w:eastAsia="宋体" w:cs="宋体"/>
                <w:color w:val="000000"/>
                <w:kern w:val="0"/>
                <w:sz w:val="15"/>
                <w:szCs w:val="15"/>
                <w:highlight w:val="none"/>
              </w:rPr>
              <w:t>分）</w:t>
            </w:r>
          </w:p>
        </w:tc>
        <w:tc>
          <w:tcPr>
            <w:tcW w:w="1984"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资产管理信息系统建设情况（</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single" w:color="auto" w:sz="4" w:space="0"/>
              <w:left w:val="nil"/>
              <w:bottom w:val="single" w:color="auto" w:sz="4" w:space="0"/>
              <w:right w:val="nil"/>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考核部门和单位将国有资产纳入资产信息系统管理情况</w:t>
            </w:r>
          </w:p>
        </w:tc>
        <w:tc>
          <w:tcPr>
            <w:tcW w:w="4691" w:type="dxa"/>
            <w:tcBorders>
              <w:top w:val="single" w:color="auto" w:sz="4" w:space="0"/>
              <w:left w:val="single" w:color="auto" w:sz="4" w:space="0"/>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ascii="宋体" w:hAnsi="宋体" w:eastAsia="宋体" w:cs="宋体"/>
                <w:color w:val="000000"/>
                <w:kern w:val="0"/>
                <w:sz w:val="15"/>
                <w:szCs w:val="15"/>
                <w:highlight w:val="none"/>
              </w:rPr>
              <w:t>①</w:t>
            </w:r>
            <w:r>
              <w:rPr>
                <w:rFonts w:hint="eastAsia" w:eastAsia="宋体" w:cs="宋体"/>
                <w:color w:val="000000"/>
                <w:kern w:val="0"/>
                <w:sz w:val="15"/>
                <w:szCs w:val="15"/>
                <w:highlight w:val="none"/>
              </w:rPr>
              <w:t>未将所属单位国有资产纳入系统管理，每少一个单位扣</w:t>
            </w:r>
            <w:r>
              <w:rPr>
                <w:rFonts w:eastAsia="宋体"/>
                <w:color w:val="000000"/>
                <w:kern w:val="0"/>
                <w:sz w:val="15"/>
                <w:szCs w:val="15"/>
                <w:highlight w:val="none"/>
              </w:rPr>
              <w:t>1</w:t>
            </w:r>
            <w:r>
              <w:rPr>
                <w:rFonts w:hint="eastAsia" w:eastAsia="宋体" w:cs="宋体"/>
                <w:color w:val="000000"/>
                <w:kern w:val="0"/>
                <w:sz w:val="15"/>
                <w:szCs w:val="15"/>
                <w:highlight w:val="none"/>
              </w:rPr>
              <w:t>分。</w:t>
            </w:r>
            <w:r>
              <w:rPr>
                <w:rFonts w:hint="eastAsia" w:ascii="宋体" w:hAnsi="宋体" w:eastAsia="宋体" w:cs="宋体"/>
                <w:color w:val="000000"/>
                <w:kern w:val="0"/>
                <w:sz w:val="15"/>
                <w:szCs w:val="15"/>
                <w:highlight w:val="none"/>
              </w:rPr>
              <w:t>②</w:t>
            </w:r>
            <w:r>
              <w:rPr>
                <w:rFonts w:hint="eastAsia" w:eastAsia="宋体" w:cs="宋体"/>
                <w:color w:val="000000"/>
                <w:kern w:val="0"/>
                <w:sz w:val="15"/>
                <w:szCs w:val="15"/>
                <w:highlight w:val="none"/>
              </w:rPr>
              <w:t>未将资产变动情况及时录入系统，每次扣</w:t>
            </w:r>
            <w:r>
              <w:rPr>
                <w:rFonts w:eastAsia="宋体"/>
                <w:color w:val="000000"/>
                <w:kern w:val="0"/>
                <w:sz w:val="15"/>
                <w:szCs w:val="15"/>
                <w:highlight w:val="none"/>
              </w:rPr>
              <w:t>0.5</w:t>
            </w:r>
            <w:r>
              <w:rPr>
                <w:rFonts w:hint="eastAsia" w:eastAsia="宋体" w:cs="宋体"/>
                <w:color w:val="000000"/>
                <w:kern w:val="0"/>
                <w:sz w:val="15"/>
                <w:szCs w:val="15"/>
                <w:highlight w:val="none"/>
              </w:rPr>
              <w:t>分。</w:t>
            </w:r>
            <w:r>
              <w:rPr>
                <w:rFonts w:hint="eastAsia" w:ascii="宋体" w:hAnsi="宋体" w:eastAsia="宋体" w:cs="宋体"/>
                <w:color w:val="000000"/>
                <w:kern w:val="0"/>
                <w:sz w:val="15"/>
                <w:szCs w:val="15"/>
                <w:highlight w:val="none"/>
              </w:rPr>
              <w:t>③</w:t>
            </w:r>
            <w:r>
              <w:rPr>
                <w:rFonts w:hint="eastAsia" w:eastAsia="宋体" w:cs="宋体"/>
                <w:color w:val="000000"/>
                <w:kern w:val="0"/>
                <w:sz w:val="15"/>
                <w:szCs w:val="15"/>
                <w:highlight w:val="none"/>
              </w:rPr>
              <w:t>未落实人员负责管理系统，扣</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837" w:type="dxa"/>
            <w:tcBorders>
              <w:top w:val="single" w:color="auto" w:sz="4" w:space="0"/>
              <w:left w:val="single" w:color="auto" w:sz="4" w:space="0"/>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single" w:color="auto" w:sz="4" w:space="0"/>
              <w:left w:val="single" w:color="auto" w:sz="4" w:space="0"/>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行政事业单位资产清查开展情况（</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考核行政事业单位按要求及时、准确、全面开展资产清查工作情况</w:t>
            </w:r>
          </w:p>
        </w:tc>
        <w:tc>
          <w:tcPr>
            <w:tcW w:w="4691"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ascii="宋体" w:hAnsi="宋体" w:eastAsia="宋体" w:cs="宋体"/>
                <w:color w:val="000000"/>
                <w:kern w:val="0"/>
                <w:sz w:val="15"/>
                <w:szCs w:val="15"/>
                <w:highlight w:val="none"/>
              </w:rPr>
              <w:t>①</w:t>
            </w:r>
            <w:r>
              <w:rPr>
                <w:rFonts w:hint="eastAsia" w:eastAsia="宋体" w:cs="宋体"/>
                <w:color w:val="000000"/>
                <w:kern w:val="0"/>
                <w:sz w:val="15"/>
                <w:szCs w:val="15"/>
                <w:highlight w:val="none"/>
              </w:rPr>
              <w:t>未在规定时间内完成资产清查任务扣</w:t>
            </w:r>
            <w:r>
              <w:rPr>
                <w:rFonts w:eastAsia="宋体"/>
                <w:color w:val="000000"/>
                <w:kern w:val="0"/>
                <w:sz w:val="15"/>
                <w:szCs w:val="15"/>
                <w:highlight w:val="none"/>
              </w:rPr>
              <w:t>1</w:t>
            </w:r>
            <w:r>
              <w:rPr>
                <w:rFonts w:hint="eastAsia" w:eastAsia="宋体" w:cs="宋体"/>
                <w:color w:val="000000"/>
                <w:kern w:val="0"/>
                <w:sz w:val="15"/>
                <w:szCs w:val="15"/>
                <w:highlight w:val="none"/>
              </w:rPr>
              <w:t>分。</w:t>
            </w:r>
            <w:r>
              <w:rPr>
                <w:rFonts w:hint="eastAsia" w:ascii="宋体" w:hAnsi="宋体" w:eastAsia="宋体" w:cs="宋体"/>
                <w:color w:val="000000"/>
                <w:kern w:val="0"/>
                <w:sz w:val="15"/>
                <w:szCs w:val="15"/>
                <w:highlight w:val="none"/>
              </w:rPr>
              <w:t>②</w:t>
            </w:r>
            <w:r>
              <w:rPr>
                <w:rFonts w:hint="eastAsia" w:eastAsia="宋体" w:cs="宋体"/>
                <w:color w:val="000000"/>
                <w:kern w:val="0"/>
                <w:sz w:val="15"/>
                <w:szCs w:val="15"/>
                <w:highlight w:val="none"/>
              </w:rPr>
              <w:t>资产清查结果与财政组织复核的结果误差超过</w:t>
            </w:r>
            <w:r>
              <w:rPr>
                <w:rFonts w:eastAsia="宋体"/>
                <w:color w:val="000000"/>
                <w:kern w:val="0"/>
                <w:sz w:val="15"/>
                <w:szCs w:val="15"/>
                <w:highlight w:val="none"/>
              </w:rPr>
              <w:t>10%</w:t>
            </w:r>
            <w:r>
              <w:rPr>
                <w:rFonts w:hint="eastAsia" w:eastAsia="宋体" w:cs="宋体"/>
                <w:color w:val="000000"/>
                <w:kern w:val="0"/>
                <w:sz w:val="15"/>
                <w:szCs w:val="15"/>
                <w:highlight w:val="none"/>
              </w:rPr>
              <w:t>的扣</w:t>
            </w:r>
            <w:r>
              <w:rPr>
                <w:rFonts w:eastAsia="宋体"/>
                <w:color w:val="000000"/>
                <w:kern w:val="0"/>
                <w:sz w:val="15"/>
                <w:szCs w:val="15"/>
                <w:highlight w:val="none"/>
              </w:rPr>
              <w:t>1</w:t>
            </w:r>
            <w:r>
              <w:rPr>
                <w:rFonts w:hint="eastAsia" w:eastAsia="宋体" w:cs="宋体"/>
                <w:color w:val="000000"/>
                <w:kern w:val="0"/>
                <w:sz w:val="15"/>
                <w:szCs w:val="15"/>
                <w:highlight w:val="none"/>
              </w:rPr>
              <w:t>分。</w:t>
            </w:r>
            <w:r>
              <w:rPr>
                <w:rFonts w:hint="eastAsia" w:ascii="宋体" w:hAnsi="宋体" w:eastAsia="宋体" w:cs="宋体"/>
                <w:color w:val="000000"/>
                <w:kern w:val="0"/>
                <w:sz w:val="15"/>
                <w:szCs w:val="15"/>
                <w:highlight w:val="none"/>
              </w:rPr>
              <w:t>③</w:t>
            </w:r>
            <w:r>
              <w:rPr>
                <w:rFonts w:hint="eastAsia" w:eastAsia="宋体" w:cs="宋体"/>
                <w:color w:val="000000"/>
                <w:kern w:val="0"/>
                <w:sz w:val="15"/>
                <w:szCs w:val="15"/>
                <w:highlight w:val="none"/>
              </w:rPr>
              <w:t>未及时按批复的清查结果进行账务调整扣</w:t>
            </w:r>
            <w:r>
              <w:rPr>
                <w:rFonts w:eastAsia="宋体"/>
                <w:color w:val="000000"/>
                <w:kern w:val="0"/>
                <w:sz w:val="15"/>
                <w:szCs w:val="15"/>
                <w:highlight w:val="none"/>
              </w:rPr>
              <w:t>1</w:t>
            </w:r>
            <w:r>
              <w:rPr>
                <w:rFonts w:hint="eastAsia" w:eastAsia="宋体" w:cs="宋体"/>
                <w:color w:val="000000"/>
                <w:kern w:val="0"/>
                <w:sz w:val="15"/>
                <w:szCs w:val="15"/>
                <w:highlight w:val="none"/>
              </w:rPr>
              <w:t>分。</w:t>
            </w:r>
            <w:r>
              <w:rPr>
                <w:rFonts w:hint="eastAsia" w:ascii="宋体" w:hAnsi="宋体" w:eastAsia="宋体" w:cs="宋体"/>
                <w:color w:val="000000"/>
                <w:kern w:val="0"/>
                <w:sz w:val="15"/>
                <w:szCs w:val="15"/>
                <w:highlight w:val="none"/>
              </w:rPr>
              <w:t>④</w:t>
            </w:r>
            <w:r>
              <w:rPr>
                <w:rFonts w:hint="eastAsia" w:eastAsia="宋体" w:cs="宋体"/>
                <w:color w:val="000000"/>
                <w:kern w:val="0"/>
                <w:sz w:val="15"/>
                <w:szCs w:val="15"/>
                <w:highlight w:val="none"/>
              </w:rPr>
              <w:t>未及时更新资产管理信息系统，导致系统资产数据与上报财政的资产清查结果不一致扣</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837"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1.5</w:t>
            </w:r>
          </w:p>
        </w:tc>
        <w:tc>
          <w:tcPr>
            <w:tcW w:w="831"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行政事业单位资产报表上报情况（</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考核行政事业单位上报国有资产报表数据的真实性、准确性、全面性</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ascii="宋体" w:hAnsi="宋体" w:eastAsia="宋体" w:cs="宋体"/>
                <w:color w:val="000000"/>
                <w:kern w:val="0"/>
                <w:sz w:val="15"/>
                <w:szCs w:val="15"/>
                <w:highlight w:val="none"/>
              </w:rPr>
              <w:t>①</w:t>
            </w:r>
            <w:r>
              <w:rPr>
                <w:rFonts w:hint="eastAsia" w:eastAsia="宋体" w:cs="宋体"/>
                <w:color w:val="000000"/>
                <w:kern w:val="0"/>
                <w:sz w:val="15"/>
                <w:szCs w:val="15"/>
                <w:highlight w:val="none"/>
              </w:rPr>
              <w:t>未落实专人负责资产报表，未及时上报资产报表扣</w:t>
            </w:r>
            <w:r>
              <w:rPr>
                <w:rFonts w:eastAsia="宋体"/>
                <w:color w:val="000000"/>
                <w:kern w:val="0"/>
                <w:sz w:val="15"/>
                <w:szCs w:val="15"/>
                <w:highlight w:val="none"/>
              </w:rPr>
              <w:t>1</w:t>
            </w:r>
            <w:r>
              <w:rPr>
                <w:rFonts w:hint="eastAsia" w:eastAsia="宋体" w:cs="宋体"/>
                <w:color w:val="000000"/>
                <w:kern w:val="0"/>
                <w:sz w:val="15"/>
                <w:szCs w:val="15"/>
                <w:highlight w:val="none"/>
              </w:rPr>
              <w:t>分。</w:t>
            </w:r>
            <w:r>
              <w:rPr>
                <w:rFonts w:hint="eastAsia" w:ascii="宋体" w:hAnsi="宋体" w:eastAsia="宋体" w:cs="宋体"/>
                <w:color w:val="000000"/>
                <w:kern w:val="0"/>
                <w:sz w:val="15"/>
                <w:szCs w:val="15"/>
                <w:highlight w:val="none"/>
              </w:rPr>
              <w:t>②</w:t>
            </w:r>
            <w:r>
              <w:rPr>
                <w:rFonts w:hint="eastAsia" w:eastAsia="宋体" w:cs="宋体"/>
                <w:color w:val="000000"/>
                <w:kern w:val="0"/>
                <w:sz w:val="15"/>
                <w:szCs w:val="15"/>
                <w:highlight w:val="none"/>
              </w:rPr>
              <w:t>报表填报不规范，内容不完整，数据不真实，扣</w:t>
            </w:r>
            <w:r>
              <w:rPr>
                <w:rFonts w:eastAsia="宋体"/>
                <w:color w:val="000000"/>
                <w:kern w:val="0"/>
                <w:sz w:val="15"/>
                <w:szCs w:val="15"/>
                <w:highlight w:val="none"/>
              </w:rPr>
              <w:t>1</w:t>
            </w:r>
            <w:r>
              <w:rPr>
                <w:rFonts w:hint="eastAsia" w:eastAsia="宋体" w:cs="宋体"/>
                <w:color w:val="000000"/>
                <w:kern w:val="0"/>
                <w:sz w:val="15"/>
                <w:szCs w:val="15"/>
                <w:highlight w:val="none"/>
              </w:rPr>
              <w:t>分。</w:t>
            </w:r>
            <w:r>
              <w:rPr>
                <w:rFonts w:hint="eastAsia" w:ascii="宋体" w:hAnsi="宋体" w:eastAsia="宋体" w:cs="宋体"/>
                <w:color w:val="000000"/>
                <w:kern w:val="0"/>
                <w:sz w:val="15"/>
                <w:szCs w:val="15"/>
                <w:highlight w:val="none"/>
              </w:rPr>
              <w:t>③</w:t>
            </w:r>
            <w:r>
              <w:rPr>
                <w:rFonts w:hint="eastAsia" w:eastAsia="宋体" w:cs="宋体"/>
                <w:color w:val="000000"/>
                <w:kern w:val="0"/>
                <w:sz w:val="15"/>
                <w:szCs w:val="15"/>
                <w:highlight w:val="none"/>
              </w:rPr>
              <w:t>未提交分析报告，对资产变动情况未作分析说明，扣</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tcBorders>
              <w:top w:val="nil"/>
              <w:left w:val="nil"/>
              <w:bottom w:val="nil"/>
              <w:right w:val="single" w:color="auto" w:sz="4" w:space="0"/>
            </w:tcBorders>
            <w:noWrap/>
            <w:vAlign w:val="center"/>
          </w:tcPr>
          <w:p>
            <w:pPr>
              <w:spacing w:line="200" w:lineRule="exact"/>
              <w:jc w:val="center"/>
              <w:rPr>
                <w:rFonts w:eastAsia="宋体"/>
                <w:color w:val="000000"/>
                <w:kern w:val="0"/>
                <w:sz w:val="15"/>
                <w:szCs w:val="15"/>
                <w:highlight w:val="none"/>
              </w:rPr>
            </w:pPr>
            <w:r>
              <w:rPr>
                <w:rFonts w:hint="eastAsia" w:eastAsia="宋体" w:cs="宋体"/>
                <w:color w:val="000000"/>
                <w:kern w:val="0"/>
                <w:sz w:val="15"/>
                <w:szCs w:val="15"/>
                <w:highlight w:val="none"/>
              </w:rPr>
              <w:t>内控制度管理（</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内部控制度健全完整（</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考核部门内部控制制度的设置和执行情况</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内部控制制度健全完整并执行良好的得分，否则不得分。在本年度内因内控制度不健全或执行不到位，造成单位出现廉政风险或发生重大责任事故的不得分。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restart"/>
            <w:tcBorders>
              <w:top w:val="single" w:color="auto" w:sz="4" w:space="0"/>
              <w:left w:val="single" w:color="auto" w:sz="4" w:space="0"/>
              <w:bottom w:val="single" w:color="000000"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信息公开（</w:t>
            </w:r>
            <w:r>
              <w:rPr>
                <w:rFonts w:eastAsia="宋体"/>
                <w:color w:val="000000"/>
                <w:kern w:val="0"/>
                <w:sz w:val="15"/>
                <w:szCs w:val="15"/>
                <w:highlight w:val="none"/>
              </w:rPr>
              <w:t>6</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预算公开（</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除涉密信息外，各部门要在财政部门批复后二十日内向社会公开本部门预算（含所有财政资金安排的</w:t>
            </w:r>
            <w:r>
              <w:rPr>
                <w:rFonts w:eastAsia="宋体"/>
                <w:color w:val="000000"/>
                <w:kern w:val="0"/>
                <w:sz w:val="15"/>
                <w:szCs w:val="15"/>
                <w:highlight w:val="none"/>
              </w:rPr>
              <w:t>“</w:t>
            </w:r>
            <w:r>
              <w:rPr>
                <w:rFonts w:hint="eastAsia" w:eastAsia="宋体" w:cs="宋体"/>
                <w:color w:val="000000"/>
                <w:kern w:val="0"/>
                <w:sz w:val="15"/>
                <w:szCs w:val="15"/>
                <w:highlight w:val="none"/>
              </w:rPr>
              <w:t>三公</w:t>
            </w:r>
            <w:r>
              <w:rPr>
                <w:rFonts w:eastAsia="宋体"/>
                <w:color w:val="000000"/>
                <w:kern w:val="0"/>
                <w:sz w:val="15"/>
                <w:szCs w:val="15"/>
                <w:highlight w:val="none"/>
              </w:rPr>
              <w:t>”</w:t>
            </w:r>
            <w:r>
              <w:rPr>
                <w:rFonts w:hint="eastAsia" w:eastAsia="宋体" w:cs="宋体"/>
                <w:color w:val="000000"/>
                <w:kern w:val="0"/>
                <w:sz w:val="15"/>
                <w:szCs w:val="15"/>
                <w:highlight w:val="none"/>
              </w:rPr>
              <w:t>经费、机关运行经费的安排、使用情况等）</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按市财政局通知要求公开预算，未按要求公开的，发现一处扣</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决算公开（</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除涉密信息外，各部门要在财政部门批复二十日内向社会公开本部门决算（含所有财政资金安排的</w:t>
            </w:r>
            <w:r>
              <w:rPr>
                <w:rFonts w:eastAsia="宋体"/>
                <w:color w:val="000000"/>
                <w:kern w:val="0"/>
                <w:sz w:val="15"/>
                <w:szCs w:val="15"/>
                <w:highlight w:val="none"/>
              </w:rPr>
              <w:t>“</w:t>
            </w:r>
            <w:r>
              <w:rPr>
                <w:rFonts w:hint="eastAsia" w:eastAsia="宋体" w:cs="宋体"/>
                <w:color w:val="000000"/>
                <w:kern w:val="0"/>
                <w:sz w:val="15"/>
                <w:szCs w:val="15"/>
                <w:highlight w:val="none"/>
              </w:rPr>
              <w:t>三公</w:t>
            </w:r>
            <w:r>
              <w:rPr>
                <w:rFonts w:eastAsia="宋体"/>
                <w:color w:val="000000"/>
                <w:kern w:val="0"/>
                <w:sz w:val="15"/>
                <w:szCs w:val="15"/>
                <w:highlight w:val="none"/>
              </w:rPr>
              <w:t>”</w:t>
            </w:r>
            <w:r>
              <w:rPr>
                <w:rFonts w:hint="eastAsia" w:eastAsia="宋体" w:cs="宋体"/>
                <w:color w:val="000000"/>
                <w:kern w:val="0"/>
                <w:sz w:val="15"/>
                <w:szCs w:val="15"/>
                <w:highlight w:val="none"/>
              </w:rPr>
              <w:t>经费、机关运行经费的安排、使用情况等）</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未按要求公开的，发现一处问题</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绩效信息公开（</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按要求公开部门整体支出绩效自评报告及其他按要求应公开的绩效信息</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未按要求公开的，发现一处问题</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9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restart"/>
            <w:tcBorders>
              <w:top w:val="nil"/>
              <w:left w:val="single" w:color="auto" w:sz="4" w:space="0"/>
              <w:bottom w:val="single" w:color="000000"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绩效评价（</w:t>
            </w:r>
            <w:r>
              <w:rPr>
                <w:rFonts w:eastAsia="宋体"/>
                <w:color w:val="000000"/>
                <w:kern w:val="0"/>
                <w:sz w:val="15"/>
                <w:szCs w:val="15"/>
                <w:highlight w:val="none"/>
              </w:rPr>
              <w:t>10</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评价项目覆盖率（</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部门实施绩效评价项目数量占部门申报绩效目标项目数量的比重，用以反映和考核部门实施绩效评价项目资金覆盖情况</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评价覆盖率</w:t>
            </w:r>
            <w:r>
              <w:rPr>
                <w:rFonts w:eastAsia="宋体"/>
                <w:color w:val="000000"/>
                <w:kern w:val="0"/>
                <w:sz w:val="15"/>
                <w:szCs w:val="15"/>
                <w:highlight w:val="none"/>
              </w:rPr>
              <w:t>=</w:t>
            </w:r>
            <w:r>
              <w:rPr>
                <w:rFonts w:hint="eastAsia" w:eastAsia="宋体" w:cs="宋体"/>
                <w:color w:val="000000"/>
                <w:kern w:val="0"/>
                <w:sz w:val="15"/>
                <w:szCs w:val="15"/>
                <w:highlight w:val="none"/>
              </w:rPr>
              <w:t>实施绩效评价项目数量</w:t>
            </w:r>
            <w:r>
              <w:rPr>
                <w:rFonts w:eastAsia="宋体"/>
                <w:color w:val="000000"/>
                <w:kern w:val="0"/>
                <w:sz w:val="15"/>
                <w:szCs w:val="15"/>
                <w:highlight w:val="none"/>
              </w:rPr>
              <w:t>/</w:t>
            </w:r>
            <w:r>
              <w:rPr>
                <w:rFonts w:hint="eastAsia" w:eastAsia="宋体" w:cs="宋体"/>
                <w:color w:val="000000"/>
                <w:kern w:val="0"/>
                <w:sz w:val="15"/>
                <w:szCs w:val="15"/>
                <w:highlight w:val="none"/>
              </w:rPr>
              <w:t>申报绩效目标项目数量</w:t>
            </w:r>
            <w:r>
              <w:rPr>
                <w:rFonts w:eastAsia="宋体"/>
                <w:color w:val="000000"/>
                <w:kern w:val="0"/>
                <w:sz w:val="15"/>
                <w:szCs w:val="15"/>
                <w:highlight w:val="none"/>
              </w:rPr>
              <w:t>×100%</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评价层次（</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部门（单位）是否对下级预算单位开展整体绩效评价</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实施评价下级预算单位的得分，否则不得分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评价结果报告（</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部门是否按要求向财政部门报告自评报告等相关绩效信息</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未按要求报送的，发现一处扣</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整改完成率（</w:t>
            </w:r>
            <w:r>
              <w:rPr>
                <w:rFonts w:eastAsia="宋体"/>
                <w:color w:val="000000"/>
                <w:kern w:val="0"/>
                <w:sz w:val="15"/>
                <w:szCs w:val="15"/>
                <w:highlight w:val="none"/>
              </w:rPr>
              <w:t>4</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部门是否按要求针对绩效评价发现问题制定整改措施，并整改落实到位</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完成率</w:t>
            </w:r>
            <w:r>
              <w:rPr>
                <w:rFonts w:eastAsia="宋体"/>
                <w:color w:val="000000"/>
                <w:kern w:val="0"/>
                <w:sz w:val="15"/>
                <w:szCs w:val="15"/>
                <w:highlight w:val="none"/>
              </w:rPr>
              <w:t>=</w:t>
            </w:r>
            <w:r>
              <w:rPr>
                <w:rFonts w:hint="eastAsia" w:eastAsia="宋体" w:cs="宋体"/>
                <w:color w:val="000000"/>
                <w:kern w:val="0"/>
                <w:sz w:val="15"/>
                <w:szCs w:val="15"/>
                <w:highlight w:val="none"/>
              </w:rPr>
              <w:t>应制定整改措施的项目数量</w:t>
            </w:r>
            <w:r>
              <w:rPr>
                <w:rFonts w:eastAsia="宋体"/>
                <w:color w:val="000000"/>
                <w:kern w:val="0"/>
                <w:sz w:val="15"/>
                <w:szCs w:val="15"/>
                <w:highlight w:val="none"/>
              </w:rPr>
              <w:t>/</w:t>
            </w:r>
            <w:r>
              <w:rPr>
                <w:rFonts w:hint="eastAsia" w:eastAsia="宋体" w:cs="宋体"/>
                <w:color w:val="000000"/>
                <w:kern w:val="0"/>
                <w:sz w:val="15"/>
                <w:szCs w:val="15"/>
                <w:highlight w:val="none"/>
              </w:rPr>
              <w:t>部门实际制定整改措施项目数量</w:t>
            </w:r>
            <w:r>
              <w:rPr>
                <w:rFonts w:eastAsia="宋体"/>
                <w:color w:val="000000"/>
                <w:kern w:val="0"/>
                <w:sz w:val="15"/>
                <w:szCs w:val="15"/>
                <w:highlight w:val="none"/>
              </w:rPr>
              <w:t>×100%</w:t>
            </w:r>
            <w:r>
              <w:rPr>
                <w:rFonts w:hint="eastAsia" w:eastAsia="宋体" w:cs="宋体"/>
                <w:color w:val="000000"/>
                <w:kern w:val="0"/>
                <w:sz w:val="15"/>
                <w:szCs w:val="15"/>
                <w:highlight w:val="none"/>
              </w:rPr>
              <w:t>。</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4</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restart"/>
            <w:tcBorders>
              <w:top w:val="nil"/>
              <w:left w:val="single" w:color="auto" w:sz="4" w:space="0"/>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依法接受财政监督（</w:t>
            </w:r>
            <w:r>
              <w:rPr>
                <w:rFonts w:eastAsia="宋体"/>
                <w:color w:val="000000"/>
                <w:kern w:val="0"/>
                <w:sz w:val="15"/>
                <w:szCs w:val="15"/>
                <w:highlight w:val="none"/>
              </w:rPr>
              <w:t>6</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是否按要求开展自查自纠</w:t>
            </w:r>
            <w:r>
              <w:rPr>
                <w:rFonts w:eastAsia="宋体"/>
                <w:color w:val="000000"/>
                <w:kern w:val="0"/>
                <w:sz w:val="15"/>
                <w:szCs w:val="15"/>
                <w:highlight w:val="none"/>
              </w:rPr>
              <w:br w:type="textWrapping"/>
            </w:r>
            <w:r>
              <w:rPr>
                <w:rFonts w:hint="eastAsia" w:eastAsia="宋体" w:cs="宋体"/>
                <w:color w:val="000000"/>
                <w:kern w:val="0"/>
                <w:sz w:val="15"/>
                <w:szCs w:val="15"/>
                <w:highlight w:val="none"/>
              </w:rPr>
              <w:t>（</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根据相关自查自纠报告、报表报送时效和质量进行考核</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未在规定时间内报送自查自纠相关材料（包括：纸质和电子版）的，扣</w:t>
            </w:r>
            <w:r>
              <w:rPr>
                <w:rFonts w:eastAsia="宋体"/>
                <w:color w:val="000000"/>
                <w:kern w:val="0"/>
                <w:sz w:val="15"/>
                <w:szCs w:val="15"/>
                <w:highlight w:val="none"/>
              </w:rPr>
              <w:t>0.5</w:t>
            </w:r>
            <w:r>
              <w:rPr>
                <w:rFonts w:hint="eastAsia" w:eastAsia="宋体" w:cs="宋体"/>
                <w:color w:val="000000"/>
                <w:kern w:val="0"/>
                <w:sz w:val="15"/>
                <w:szCs w:val="15"/>
                <w:highlight w:val="none"/>
              </w:rPr>
              <w:t>分；报告内容不完整，扣</w:t>
            </w:r>
            <w:r>
              <w:rPr>
                <w:rFonts w:eastAsia="宋体"/>
                <w:color w:val="000000"/>
                <w:kern w:val="0"/>
                <w:sz w:val="15"/>
                <w:szCs w:val="15"/>
                <w:highlight w:val="none"/>
              </w:rPr>
              <w:t>1</w:t>
            </w:r>
            <w:r>
              <w:rPr>
                <w:rFonts w:hint="eastAsia" w:eastAsia="宋体" w:cs="宋体"/>
                <w:color w:val="000000"/>
                <w:kern w:val="0"/>
                <w:sz w:val="15"/>
                <w:szCs w:val="15"/>
                <w:highlight w:val="none"/>
              </w:rPr>
              <w:t>分；报表质量差（如：数据、逻辑、勾稽关系错误）等扣</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重点检查发现违规违纪问题（</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根据检查组提供的工作底稿、检查报告等资料进行考核</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专项检查发现的违纪违规问题，每个问题扣</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存在问题整改是否到位</w:t>
            </w:r>
            <w:r>
              <w:rPr>
                <w:rFonts w:eastAsia="宋体"/>
                <w:color w:val="000000"/>
                <w:kern w:val="0"/>
                <w:sz w:val="15"/>
                <w:szCs w:val="15"/>
                <w:highlight w:val="none"/>
              </w:rPr>
              <w:br w:type="textWrapping"/>
            </w:r>
            <w:r>
              <w:rPr>
                <w:rFonts w:hint="eastAsia" w:eastAsia="宋体" w:cs="宋体"/>
                <w:color w:val="000000"/>
                <w:kern w:val="0"/>
                <w:sz w:val="15"/>
                <w:szCs w:val="15"/>
                <w:highlight w:val="none"/>
              </w:rPr>
              <w:t>（</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根据相关整改报告、凭证依据等相关证明材料进行考核</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未在规定时间内完成整改，并提供相关证明材料的，每个问题</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restart"/>
            <w:tcBorders>
              <w:top w:val="nil"/>
              <w:left w:val="single" w:color="auto" w:sz="4" w:space="0"/>
              <w:bottom w:val="single" w:color="000000" w:sz="4" w:space="0"/>
              <w:right w:val="single" w:color="auto" w:sz="4" w:space="0"/>
            </w:tcBorders>
            <w:noWrap/>
            <w:vAlign w:val="center"/>
          </w:tcPr>
          <w:p>
            <w:pPr>
              <w:spacing w:line="200" w:lineRule="exact"/>
              <w:jc w:val="center"/>
              <w:rPr>
                <w:rFonts w:eastAsia="宋体"/>
                <w:color w:val="000000"/>
                <w:kern w:val="0"/>
                <w:sz w:val="15"/>
                <w:szCs w:val="15"/>
                <w:highlight w:val="none"/>
              </w:rPr>
            </w:pPr>
            <w:r>
              <w:rPr>
                <w:rFonts w:hint="eastAsia" w:eastAsia="宋体" w:cs="宋体"/>
                <w:color w:val="000000"/>
                <w:kern w:val="0"/>
                <w:sz w:val="15"/>
                <w:szCs w:val="15"/>
                <w:highlight w:val="none"/>
              </w:rPr>
              <w:t>整体效益（</w:t>
            </w:r>
            <w:r>
              <w:rPr>
                <w:rFonts w:eastAsia="宋体"/>
                <w:color w:val="000000"/>
                <w:kern w:val="0"/>
                <w:sz w:val="15"/>
                <w:szCs w:val="15"/>
                <w:highlight w:val="none"/>
              </w:rPr>
              <w:t>30</w:t>
            </w:r>
            <w:r>
              <w:rPr>
                <w:rFonts w:hint="eastAsia" w:eastAsia="宋体" w:cs="宋体"/>
                <w:color w:val="000000"/>
                <w:kern w:val="0"/>
                <w:sz w:val="15"/>
                <w:szCs w:val="15"/>
                <w:highlight w:val="none"/>
              </w:rPr>
              <w:t>分）</w:t>
            </w:r>
          </w:p>
        </w:tc>
        <w:tc>
          <w:tcPr>
            <w:tcW w:w="1276" w:type="dxa"/>
            <w:vMerge w:val="restart"/>
            <w:tcBorders>
              <w:top w:val="nil"/>
              <w:left w:val="single" w:color="auto" w:sz="4" w:space="0"/>
              <w:bottom w:val="single" w:color="000000"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部门整体绩效（</w:t>
            </w:r>
            <w:r>
              <w:rPr>
                <w:rFonts w:eastAsia="宋体"/>
                <w:color w:val="000000"/>
                <w:kern w:val="0"/>
                <w:sz w:val="15"/>
                <w:szCs w:val="15"/>
                <w:highlight w:val="none"/>
              </w:rPr>
              <w:t>30</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部门职责履行结果（</w:t>
            </w:r>
            <w:r>
              <w:rPr>
                <w:rFonts w:eastAsia="宋体"/>
                <w:color w:val="000000"/>
                <w:kern w:val="0"/>
                <w:sz w:val="15"/>
                <w:szCs w:val="15"/>
                <w:highlight w:val="none"/>
              </w:rPr>
              <w:t>10</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履行法定职责，完成区委、区政府决策部署和重大工作任务完成情况</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根据区政府部门绩效评估结果换算</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10</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重点项目绩效评价结果（</w:t>
            </w:r>
            <w:r>
              <w:rPr>
                <w:rFonts w:eastAsia="宋体"/>
                <w:color w:val="000000"/>
                <w:kern w:val="0"/>
                <w:sz w:val="15"/>
                <w:szCs w:val="15"/>
                <w:highlight w:val="none"/>
              </w:rPr>
              <w:t>10</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部门实施重大项目的经济、社会效益</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根据区财政局组织实施项目绩效评价结果换算</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10</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服务对象满意度（</w:t>
            </w:r>
            <w:r>
              <w:rPr>
                <w:rFonts w:eastAsia="宋体"/>
                <w:color w:val="000000"/>
                <w:kern w:val="0"/>
                <w:sz w:val="15"/>
                <w:szCs w:val="15"/>
                <w:highlight w:val="none"/>
              </w:rPr>
              <w:t>10</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密切联系群众、服务群众情况，办理人大代表建议、政协提案情况，妥善处理群众来信来访、化解社会矛盾情况，加强政风行风建设、解决损害群众利益情况</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根据区政府部门绩效评估结果换算</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10</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321" w:hRule="atLeast"/>
          <w:jc w:val="center"/>
        </w:trPr>
        <w:tc>
          <w:tcPr>
            <w:tcW w:w="704" w:type="dxa"/>
            <w:tcBorders>
              <w:top w:val="nil"/>
              <w:left w:val="single" w:color="auto" w:sz="4" w:space="0"/>
              <w:bottom w:val="single" w:color="000000" w:sz="4" w:space="0"/>
              <w:right w:val="single" w:color="auto" w:sz="4" w:space="0"/>
            </w:tcBorders>
            <w:noWrap/>
            <w:vAlign w:val="center"/>
          </w:tcPr>
          <w:p>
            <w:pPr>
              <w:spacing w:line="200" w:lineRule="exact"/>
              <w:jc w:val="center"/>
              <w:rPr>
                <w:rFonts w:eastAsia="宋体"/>
                <w:b/>
                <w:color w:val="000000"/>
                <w:kern w:val="0"/>
                <w:sz w:val="15"/>
                <w:szCs w:val="15"/>
                <w:highlight w:val="none"/>
              </w:rPr>
            </w:pPr>
            <w:r>
              <w:rPr>
                <w:rFonts w:hint="eastAsia" w:eastAsia="宋体" w:cs="宋体"/>
                <w:b/>
                <w:color w:val="000000"/>
                <w:kern w:val="0"/>
                <w:sz w:val="15"/>
                <w:szCs w:val="15"/>
                <w:highlight w:val="none"/>
              </w:rPr>
              <w:t>合计</w:t>
            </w:r>
          </w:p>
        </w:tc>
        <w:tc>
          <w:tcPr>
            <w:tcW w:w="1276" w:type="dxa"/>
            <w:tcBorders>
              <w:top w:val="nil"/>
              <w:left w:val="single" w:color="auto" w:sz="4" w:space="0"/>
              <w:bottom w:val="single" w:color="000000" w:sz="4" w:space="0"/>
              <w:right w:val="single" w:color="auto" w:sz="4" w:space="0"/>
            </w:tcBorders>
            <w:noWrap/>
            <w:vAlign w:val="center"/>
          </w:tcPr>
          <w:p>
            <w:pPr>
              <w:spacing w:line="200" w:lineRule="exact"/>
              <w:jc w:val="center"/>
              <w:rPr>
                <w:rFonts w:eastAsia="宋体"/>
                <w:b/>
                <w:color w:val="000000"/>
                <w:kern w:val="0"/>
                <w:sz w:val="15"/>
                <w:szCs w:val="15"/>
                <w:highlight w:val="none"/>
              </w:rPr>
            </w:pPr>
            <w:r>
              <w:rPr>
                <w:rFonts w:eastAsia="宋体"/>
                <w:b/>
                <w:color w:val="000000"/>
                <w:kern w:val="0"/>
                <w:sz w:val="15"/>
                <w:szCs w:val="15"/>
                <w:highlight w:val="none"/>
              </w:rPr>
              <w:t>100</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97</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bl>
    <w:p>
      <w:pPr>
        <w:rPr>
          <w:highlight w:val="none"/>
        </w:rPr>
        <w:sectPr>
          <w:pgSz w:w="16838" w:h="11906" w:orient="landscape"/>
          <w:pgMar w:top="1800" w:right="1440" w:bottom="1800" w:left="1440" w:header="851" w:footer="992" w:gutter="0"/>
          <w:cols w:space="425" w:num="1"/>
          <w:docGrid w:type="lines" w:linePitch="312" w:charSpace="0"/>
        </w:sectPr>
      </w:pPr>
    </w:p>
    <w:p>
      <w:pPr>
        <w:spacing w:line="580" w:lineRule="exact"/>
        <w:outlineLvl w:val="1"/>
        <w:rPr>
          <w:rFonts w:ascii="仿宋_GB2312" w:hAnsi="仿宋_GB2312" w:cs="仿宋_GB2312"/>
          <w:szCs w:val="32"/>
          <w:highlight w:val="none"/>
        </w:rPr>
      </w:pPr>
      <w:bookmarkStart w:id="62" w:name="_Toc11602"/>
      <w:r>
        <w:rPr>
          <w:rFonts w:hint="eastAsia" w:ascii="黑体" w:hAnsi="黑体" w:eastAsia="黑体" w:cs="黑体"/>
          <w:szCs w:val="32"/>
          <w:highlight w:val="none"/>
        </w:rPr>
        <w:t>附件</w:t>
      </w:r>
      <w:r>
        <w:rPr>
          <w:rFonts w:ascii="黑体" w:hAnsi="黑体" w:eastAsia="黑体" w:cs="黑体"/>
          <w:szCs w:val="32"/>
          <w:highlight w:val="none"/>
        </w:rPr>
        <w:t>2</w:t>
      </w:r>
      <w:bookmarkEnd w:id="62"/>
    </w:p>
    <w:p>
      <w:pPr>
        <w:spacing w:line="580" w:lineRule="exact"/>
        <w:ind w:firstLine="640" w:firstLineChars="200"/>
        <w:rPr>
          <w:rFonts w:ascii="仿宋_GB2312" w:hAnsi="仿宋_GB2312" w:cs="仿宋_GB2312"/>
          <w:szCs w:val="32"/>
          <w:highlight w:val="none"/>
        </w:rPr>
      </w:pPr>
    </w:p>
    <w:p>
      <w:pPr>
        <w:spacing w:line="600" w:lineRule="exact"/>
        <w:jc w:val="center"/>
        <w:rPr>
          <w:rFonts w:ascii="方正小标宋简体" w:hAnsi="宋体" w:eastAsia="方正小标宋简体"/>
          <w:color w:val="000000"/>
          <w:kern w:val="0"/>
          <w:sz w:val="44"/>
          <w:szCs w:val="44"/>
          <w:highlight w:val="none"/>
          <w:lang w:val="zh-CN"/>
        </w:rPr>
      </w:pPr>
      <w:r>
        <w:rPr>
          <w:rFonts w:hint="eastAsia" w:ascii="方正小标宋简体" w:hAnsi="宋体" w:eastAsia="方正小标宋简体"/>
          <w:color w:val="000000"/>
          <w:kern w:val="0"/>
          <w:sz w:val="44"/>
          <w:szCs w:val="44"/>
          <w:highlight w:val="none"/>
          <w:lang w:val="zh-CN"/>
        </w:rPr>
        <w:t>清风问政项目</w:t>
      </w:r>
      <w:r>
        <w:rPr>
          <w:rFonts w:ascii="方正小标宋简体" w:hAnsi="宋体" w:eastAsia="方正小标宋简体"/>
          <w:color w:val="000000"/>
          <w:kern w:val="0"/>
          <w:sz w:val="44"/>
          <w:szCs w:val="44"/>
          <w:highlight w:val="none"/>
        </w:rPr>
        <w:t>2020</w:t>
      </w:r>
      <w:r>
        <w:rPr>
          <w:rFonts w:hint="eastAsia" w:ascii="方正小标宋简体" w:hAnsi="宋体" w:eastAsia="方正小标宋简体"/>
          <w:color w:val="000000"/>
          <w:kern w:val="0"/>
          <w:sz w:val="44"/>
          <w:szCs w:val="44"/>
          <w:highlight w:val="none"/>
        </w:rPr>
        <w:t>年</w:t>
      </w:r>
      <w:r>
        <w:rPr>
          <w:rFonts w:hint="eastAsia" w:ascii="方正小标宋简体" w:hAnsi="宋体" w:eastAsia="方正小标宋简体"/>
          <w:color w:val="000000"/>
          <w:kern w:val="0"/>
          <w:sz w:val="44"/>
          <w:szCs w:val="44"/>
          <w:highlight w:val="none"/>
          <w:lang w:val="zh-CN"/>
        </w:rPr>
        <w:t>绩效评价报告</w:t>
      </w:r>
    </w:p>
    <w:p>
      <w:pPr>
        <w:spacing w:line="600" w:lineRule="exact"/>
        <w:rPr>
          <w:rFonts w:ascii="宋体"/>
          <w:szCs w:val="32"/>
          <w:highlight w:val="none"/>
          <w:lang w:val="zh-CN"/>
        </w:rPr>
      </w:pPr>
    </w:p>
    <w:p>
      <w:pPr>
        <w:adjustRightInd w:val="0"/>
        <w:snapToGrid w:val="0"/>
        <w:spacing w:line="600" w:lineRule="exact"/>
        <w:ind w:firstLine="720"/>
        <w:rPr>
          <w:rFonts w:ascii="黑体" w:hAnsi="宋体" w:eastAsia="黑体"/>
          <w:szCs w:val="32"/>
          <w:highlight w:val="none"/>
          <w:lang w:val="zh-CN"/>
        </w:rPr>
      </w:pPr>
      <w:r>
        <w:rPr>
          <w:rFonts w:hint="eastAsia" w:ascii="黑体" w:hAnsi="宋体" w:eastAsia="黑体"/>
          <w:szCs w:val="32"/>
          <w:highlight w:val="none"/>
        </w:rPr>
        <w:t>一、</w:t>
      </w:r>
      <w:r>
        <w:rPr>
          <w:rFonts w:hint="eastAsia" w:ascii="黑体" w:hAnsi="宋体" w:eastAsia="黑体"/>
          <w:szCs w:val="32"/>
          <w:highlight w:val="none"/>
          <w:lang w:val="zh-CN"/>
        </w:rPr>
        <w:t>项目概况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（一）项目基本情况。</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1</w:t>
      </w:r>
      <w:r>
        <w:rPr>
          <w:rFonts w:hint="eastAsia" w:ascii="仿宋_GB2312" w:hAnsi="宋体"/>
          <w:szCs w:val="32"/>
          <w:highlight w:val="none"/>
          <w:lang w:val="zh-CN"/>
        </w:rPr>
        <w:t>．项目管理的职能。</w:t>
      </w:r>
    </w:p>
    <w:p>
      <w:pPr>
        <w:pStyle w:val="2"/>
        <w:ind w:left="0" w:leftChars="0" w:firstLine="640" w:firstLineChars="200"/>
        <w:rPr>
          <w:rFonts w:ascii="仿宋_GB2312" w:hAnsi="宋体"/>
          <w:szCs w:val="32"/>
          <w:highlight w:val="none"/>
          <w:lang w:val="zh-CN"/>
        </w:rPr>
      </w:pPr>
      <w:r>
        <w:rPr>
          <w:rFonts w:hint="eastAsia" w:ascii="仿宋_GB2312" w:hAnsi="宋体"/>
          <w:szCs w:val="32"/>
          <w:highlight w:val="none"/>
          <w:lang w:val="zh-CN"/>
        </w:rPr>
        <w:t>负责组织协调全区全面从严治党、党风廉政建设和反腐败宣传教育以及廉洁文化建设工作。</w:t>
      </w:r>
    </w:p>
    <w:p>
      <w:pPr>
        <w:numPr>
          <w:ilvl w:val="0"/>
          <w:numId w:val="7"/>
        </w:num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lang w:val="zh-CN"/>
        </w:rPr>
        <w:t>项目立项、资金申报的依据。</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rPr>
        <w:t>根据区纪委职责和区纪委全会报告提出的目标任务。</w:t>
      </w:r>
    </w:p>
    <w:p>
      <w:pPr>
        <w:numPr>
          <w:ilvl w:val="0"/>
          <w:numId w:val="7"/>
        </w:num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资金管理办法制定情况，资金支持具体项目的条件、范围与支持方式概况。</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rPr>
        <w:t>该项目主要用于清风问政网络直播节目的有关开支，包括问政影片拍摄的制作费、直播节目的设备租赁费等。</w:t>
      </w:r>
    </w:p>
    <w:p>
      <w:pPr>
        <w:adjustRightInd w:val="0"/>
        <w:snapToGrid w:val="0"/>
        <w:spacing w:line="600" w:lineRule="exact"/>
        <w:ind w:firstLine="720"/>
        <w:rPr>
          <w:rFonts w:ascii="仿宋_GB2312" w:hAnsi="宋体"/>
          <w:szCs w:val="32"/>
          <w:highlight w:val="none"/>
        </w:rPr>
      </w:pPr>
      <w:r>
        <w:rPr>
          <w:rFonts w:ascii="仿宋_GB2312" w:hAnsi="宋体"/>
          <w:szCs w:val="32"/>
          <w:highlight w:val="none"/>
          <w:lang w:val="zh-CN"/>
        </w:rPr>
        <w:t>4</w:t>
      </w:r>
      <w:r>
        <w:rPr>
          <w:rFonts w:hint="eastAsia" w:ascii="仿宋_GB2312" w:hAnsi="宋体"/>
          <w:szCs w:val="32"/>
          <w:highlight w:val="none"/>
          <w:lang w:val="zh-CN"/>
        </w:rPr>
        <w:t>．资金分配的原则及考虑因素。</w:t>
      </w:r>
      <w:r>
        <w:rPr>
          <w:rFonts w:hint="eastAsia" w:ascii="仿宋_GB2312" w:hAnsi="宋体"/>
          <w:szCs w:val="32"/>
          <w:highlight w:val="none"/>
        </w:rPr>
        <w:t>据实报销。</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（二）项目绩效目标。</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1</w:t>
      </w:r>
      <w:r>
        <w:rPr>
          <w:rFonts w:hint="eastAsia" w:ascii="仿宋_GB2312" w:hAnsi="宋体"/>
          <w:szCs w:val="32"/>
          <w:highlight w:val="none"/>
          <w:lang w:val="zh-CN"/>
        </w:rPr>
        <w:t>．项目主要内容。《清风自流》</w:t>
      </w:r>
      <w:r>
        <w:rPr>
          <w:rFonts w:hint="eastAsia" w:ascii="仿宋_GB2312" w:hAnsi="宋体"/>
          <w:szCs w:val="32"/>
          <w:highlight w:val="none"/>
        </w:rPr>
        <w:t>问政节目</w:t>
      </w:r>
      <w:r>
        <w:rPr>
          <w:rFonts w:hint="eastAsia" w:ascii="仿宋_GB2312" w:hAnsi="宋体"/>
          <w:szCs w:val="32"/>
          <w:highlight w:val="none"/>
          <w:lang w:val="zh-CN"/>
        </w:rPr>
        <w:t>第三期</w:t>
      </w:r>
      <w:r>
        <w:rPr>
          <w:rFonts w:hint="eastAsia" w:ascii="仿宋_GB2312" w:hAnsi="宋体"/>
          <w:szCs w:val="32"/>
          <w:highlight w:val="none"/>
        </w:rPr>
        <w:t>主要</w:t>
      </w:r>
      <w:r>
        <w:rPr>
          <w:rFonts w:hint="eastAsia" w:ascii="仿宋_GB2312" w:hAnsi="宋体"/>
          <w:szCs w:val="32"/>
          <w:highlight w:val="none"/>
          <w:lang w:val="zh-CN"/>
        </w:rPr>
        <w:t>聚焦工作落实问题。</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2</w:t>
      </w:r>
      <w:r>
        <w:rPr>
          <w:rFonts w:hint="eastAsia" w:ascii="仿宋_GB2312" w:hAnsi="宋体"/>
          <w:szCs w:val="32"/>
          <w:highlight w:val="none"/>
          <w:lang w:val="zh-CN"/>
        </w:rPr>
        <w:t>．项目应实现的具体绩效目标，包括目标的量化、细化情况以及项目实施进度计划等。</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开展期数大于等于1期，</w:t>
      </w:r>
      <w:r>
        <w:rPr>
          <w:rFonts w:hint="eastAsia" w:ascii="仿宋_GB2312" w:hAnsi="宋体"/>
          <w:szCs w:val="32"/>
          <w:highlight w:val="none"/>
        </w:rPr>
        <w:t>实际</w:t>
      </w:r>
      <w:r>
        <w:rPr>
          <w:rFonts w:hint="eastAsia" w:ascii="仿宋_GB2312" w:hAnsi="宋体"/>
          <w:szCs w:val="32"/>
          <w:highlight w:val="none"/>
          <w:lang w:val="zh-CN"/>
        </w:rPr>
        <w:t>举办“清风自流”问政节目1期；时效指标</w:t>
      </w:r>
      <w:r>
        <w:rPr>
          <w:rFonts w:hint="eastAsia" w:ascii="仿宋_GB2312" w:hAnsi="宋体"/>
          <w:szCs w:val="32"/>
          <w:highlight w:val="none"/>
        </w:rPr>
        <w:t>为</w:t>
      </w:r>
      <w:r>
        <w:rPr>
          <w:rFonts w:hint="eastAsia" w:ascii="仿宋_GB2312" w:hAnsi="宋体"/>
          <w:szCs w:val="32"/>
          <w:highlight w:val="none"/>
          <w:lang w:val="zh-CN"/>
        </w:rPr>
        <w:t>年底全面完成度，</w:t>
      </w:r>
      <w:r>
        <w:rPr>
          <w:rFonts w:hint="eastAsia" w:ascii="仿宋_GB2312" w:hAnsi="宋体"/>
          <w:szCs w:val="32"/>
          <w:highlight w:val="none"/>
        </w:rPr>
        <w:t>12月底</w:t>
      </w:r>
      <w:r>
        <w:rPr>
          <w:rFonts w:hint="eastAsia" w:ascii="仿宋_GB2312" w:hAnsi="宋体"/>
          <w:szCs w:val="32"/>
          <w:highlight w:val="none"/>
          <w:lang w:val="zh-CN"/>
        </w:rPr>
        <w:t>年底完成100%；</w:t>
      </w:r>
    </w:p>
    <w:p>
      <w:pPr>
        <w:adjustRightInd w:val="0"/>
        <w:snapToGrid w:val="0"/>
        <w:spacing w:line="600" w:lineRule="exact"/>
        <w:rPr>
          <w:rFonts w:ascii="仿宋_GB2312" w:hAnsi="宋体"/>
          <w:szCs w:val="32"/>
          <w:highlight w:val="none"/>
          <w:lang w:val="zh-CN"/>
        </w:rPr>
      </w:pPr>
      <w:r>
        <w:rPr>
          <w:rFonts w:hint="eastAsia" w:ascii="仿宋_GB2312" w:hAnsi="宋体"/>
          <w:szCs w:val="32"/>
          <w:highlight w:val="none"/>
          <w:lang w:val="zh-CN"/>
        </w:rPr>
        <w:t>可持续影响指标在一定时期内发挥影响，全年</w:t>
      </w:r>
      <w:r>
        <w:rPr>
          <w:rFonts w:hint="eastAsia" w:ascii="仿宋_GB2312" w:hAnsi="宋体"/>
          <w:szCs w:val="32"/>
          <w:highlight w:val="none"/>
        </w:rPr>
        <w:t>发挥警示作用；</w:t>
      </w:r>
      <w:r>
        <w:rPr>
          <w:rFonts w:hint="eastAsia" w:ascii="仿宋_GB2312" w:hAnsi="宋体"/>
          <w:szCs w:val="32"/>
          <w:highlight w:val="none"/>
          <w:lang w:val="zh-CN"/>
        </w:rPr>
        <w:t>满意度指标群众满意度大等于80%</w:t>
      </w:r>
      <w:r>
        <w:rPr>
          <w:rFonts w:hint="eastAsia" w:ascii="仿宋_GB2312" w:hAnsi="宋体"/>
          <w:szCs w:val="32"/>
          <w:highlight w:val="none"/>
          <w:lang w:val="zh-CN"/>
        </w:rPr>
        <w:tab/>
      </w:r>
      <w:r>
        <w:rPr>
          <w:rFonts w:hint="eastAsia" w:ascii="仿宋_GB2312" w:hAnsi="宋体"/>
          <w:szCs w:val="32"/>
          <w:highlight w:val="none"/>
          <w:lang w:val="zh-CN"/>
        </w:rPr>
        <w:t>，</w:t>
      </w:r>
      <w:r>
        <w:rPr>
          <w:rFonts w:hint="eastAsia" w:ascii="仿宋_GB2312" w:hAnsi="宋体"/>
          <w:szCs w:val="32"/>
          <w:highlight w:val="none"/>
        </w:rPr>
        <w:t>实际满意度</w:t>
      </w:r>
      <w:r>
        <w:rPr>
          <w:rFonts w:hint="eastAsia" w:ascii="仿宋_GB2312" w:hAnsi="宋体"/>
          <w:szCs w:val="32"/>
          <w:highlight w:val="none"/>
          <w:lang w:val="zh-CN"/>
        </w:rPr>
        <w:t>85%。</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3</w:t>
      </w:r>
      <w:r>
        <w:rPr>
          <w:rFonts w:hint="eastAsia" w:ascii="仿宋_GB2312" w:hAnsi="宋体"/>
          <w:szCs w:val="32"/>
          <w:highlight w:val="none"/>
          <w:lang w:val="zh-CN"/>
        </w:rPr>
        <w:t>．分析评价申报内容是否与实际相符，申报目标是否合理可行。根据自评情况和年度项目预期目标实现程度，</w:t>
      </w:r>
      <w:r>
        <w:rPr>
          <w:rFonts w:hint="eastAsia" w:ascii="仿宋_GB2312" w:hAnsi="宋体"/>
          <w:szCs w:val="32"/>
          <w:highlight w:val="none"/>
        </w:rPr>
        <w:t>本部门</w:t>
      </w:r>
      <w:r>
        <w:rPr>
          <w:rFonts w:hint="eastAsia" w:ascii="仿宋_GB2312" w:hAnsi="宋体"/>
          <w:szCs w:val="32"/>
          <w:highlight w:val="none"/>
          <w:lang w:val="zh-CN"/>
        </w:rPr>
        <w:t>认为，本项目绩效年度总目标已圆满完成。</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（三）项目自评步骤及方法。</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说明项目绩效自评采用的组织实施步骤及方法。本项目评价工作由</w:t>
      </w:r>
      <w:r>
        <w:rPr>
          <w:rFonts w:hint="eastAsia" w:ascii="仿宋_GB2312" w:hAnsi="宋体"/>
          <w:szCs w:val="32"/>
          <w:highlight w:val="none"/>
        </w:rPr>
        <w:t>区纪委</w:t>
      </w:r>
      <w:r>
        <w:rPr>
          <w:rFonts w:hint="eastAsia" w:ascii="仿宋_GB2312" w:hAnsi="宋体"/>
          <w:szCs w:val="32"/>
          <w:highlight w:val="none"/>
          <w:lang w:val="zh-CN"/>
        </w:rPr>
        <w:t>通过相关数据核实、查阅归纳资料，并结合评价指标，对项目整体实施情况、实施结果、项目资金支出等情况进行评价。评价指标体系按照年度部门预算项目绩效目标进行，内容包括数量指标、时效指标、成本指标、满意度指标。评价方法依据评价指标体系，项目预期目标实现程度，评价本年度绩效目标完成情况。评价标准依据</w:t>
      </w:r>
      <w:r>
        <w:rPr>
          <w:rFonts w:hint="eastAsia" w:ascii="仿宋_GB2312" w:hAnsi="宋体"/>
          <w:szCs w:val="32"/>
          <w:highlight w:val="none"/>
        </w:rPr>
        <w:t>清风问政项目</w:t>
      </w:r>
      <w:r>
        <w:rPr>
          <w:rFonts w:hint="eastAsia" w:ascii="仿宋_GB2312" w:hAnsi="宋体"/>
          <w:szCs w:val="32"/>
          <w:highlight w:val="none"/>
          <w:lang w:val="zh-CN"/>
        </w:rPr>
        <w:t>完成相关数据、合同内容。</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二、项目资金申报及使用情况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（一）项目资金申报及批复情况。</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rPr>
        <w:t>本项目财政收入为5万元，支出为5万元。</w:t>
      </w:r>
    </w:p>
    <w:p>
      <w:pPr>
        <w:adjustRightInd w:val="0"/>
        <w:snapToGrid w:val="0"/>
        <w:spacing w:line="600" w:lineRule="exact"/>
        <w:ind w:firstLine="720"/>
        <w:rPr>
          <w:rFonts w:ascii="仿宋_GB2312" w:hAnsi="宋体"/>
          <w:szCs w:val="32"/>
          <w:highlight w:val="none"/>
          <w:lang w:val="zh-CN"/>
        </w:rPr>
      </w:pPr>
      <w:r>
        <w:rPr>
          <w:rFonts w:hint="eastAsia" w:ascii="楷体_GB2312" w:hAnsi="宋体" w:eastAsia="楷体_GB2312"/>
          <w:b/>
          <w:szCs w:val="32"/>
          <w:highlight w:val="none"/>
          <w:lang w:val="zh-CN"/>
        </w:rPr>
        <w:t>（二）资金计划、到位及使用情况（可用表格形式反映）。</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1</w:t>
      </w:r>
      <w:r>
        <w:rPr>
          <w:rFonts w:hint="eastAsia" w:ascii="楷体_GB2312" w:hAnsi="宋体" w:eastAsia="楷体_GB2312"/>
          <w:szCs w:val="32"/>
          <w:highlight w:val="none"/>
          <w:lang w:val="zh-CN"/>
        </w:rPr>
        <w:t>．资金计划。</w:t>
      </w:r>
      <w:r>
        <w:rPr>
          <w:rFonts w:hint="eastAsia" w:ascii="仿宋_GB2312" w:hAnsi="宋体"/>
          <w:szCs w:val="32"/>
          <w:highlight w:val="none"/>
        </w:rPr>
        <w:t>该项目资金均为本级财政资金，不含自筹资金、其他渠道资金。</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2</w:t>
      </w:r>
      <w:r>
        <w:rPr>
          <w:rFonts w:hint="eastAsia" w:ascii="楷体_GB2312" w:hAnsi="宋体" w:eastAsia="楷体_GB2312"/>
          <w:szCs w:val="32"/>
          <w:highlight w:val="none"/>
          <w:lang w:val="zh-CN"/>
        </w:rPr>
        <w:t>．资金到位。</w:t>
      </w:r>
      <w:r>
        <w:rPr>
          <w:rFonts w:hint="eastAsia" w:ascii="仿宋_GB2312" w:hAnsi="宋体"/>
          <w:szCs w:val="32"/>
          <w:highlight w:val="none"/>
        </w:rPr>
        <w:t>本项目年初预算计划12.75万，实际资金到位5万。</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3</w:t>
      </w:r>
      <w:r>
        <w:rPr>
          <w:rFonts w:hint="eastAsia" w:ascii="楷体_GB2312" w:hAnsi="宋体" w:eastAsia="楷体_GB2312"/>
          <w:szCs w:val="32"/>
          <w:highlight w:val="none"/>
          <w:lang w:val="zh-CN"/>
        </w:rPr>
        <w:t>．资金使用。</w:t>
      </w:r>
      <w:r>
        <w:rPr>
          <w:rFonts w:hint="eastAsia" w:ascii="仿宋_GB2312" w:hAnsi="宋体"/>
          <w:szCs w:val="32"/>
          <w:highlight w:val="none"/>
        </w:rPr>
        <w:t>该项目拍摄费、场地租赁费、主持人劳务费等共支出5万。</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（三）项目财务管理情况。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本项目按照相关合同和协议规定的费用支付条件，依据</w:t>
      </w:r>
      <w:r>
        <w:rPr>
          <w:rFonts w:hint="eastAsia" w:ascii="仿宋_GB2312" w:hAnsi="宋体"/>
          <w:szCs w:val="32"/>
          <w:highlight w:val="none"/>
        </w:rPr>
        <w:t>具体</w:t>
      </w:r>
      <w:r>
        <w:rPr>
          <w:rFonts w:hint="eastAsia" w:ascii="仿宋_GB2312" w:hAnsi="宋体"/>
          <w:szCs w:val="32"/>
          <w:highlight w:val="none"/>
          <w:lang w:val="zh-CN"/>
        </w:rPr>
        <w:t>的完成进度，以及项目履约验收报告等进行资金支付管理。</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三、项目实施及管理情况</w:t>
      </w:r>
    </w:p>
    <w:p>
      <w:pPr>
        <w:adjustRightInd w:val="0"/>
        <w:snapToGrid w:val="0"/>
        <w:spacing w:line="600" w:lineRule="exact"/>
        <w:ind w:firstLine="640" w:firstLineChars="200"/>
        <w:rPr>
          <w:rFonts w:ascii="仿宋_GB2312" w:hAnsi="宋体"/>
          <w:szCs w:val="32"/>
          <w:highlight w:val="none"/>
          <w:lang w:val="zh-CN"/>
        </w:rPr>
      </w:pPr>
      <w:r>
        <w:rPr>
          <w:rFonts w:hint="eastAsia" w:ascii="仿宋_GB2312" w:hAnsi="宋体"/>
          <w:szCs w:val="32"/>
          <w:highlight w:val="none"/>
          <w:lang w:val="zh-CN"/>
        </w:rPr>
        <w:t>2020 年，由于费用结算需按照工作完成后的实际</w:t>
      </w:r>
      <w:r>
        <w:rPr>
          <w:rFonts w:hint="eastAsia" w:ascii="仿宋_GB2312" w:hAnsi="宋体"/>
          <w:szCs w:val="32"/>
          <w:highlight w:val="none"/>
        </w:rPr>
        <w:t>情况</w:t>
      </w:r>
      <w:r>
        <w:rPr>
          <w:rFonts w:hint="eastAsia" w:ascii="仿宋_GB2312" w:hAnsi="宋体"/>
          <w:szCs w:val="32"/>
          <w:highlight w:val="none"/>
          <w:lang w:val="zh-CN"/>
        </w:rPr>
        <w:t>支出，</w:t>
      </w:r>
      <w:r>
        <w:rPr>
          <w:rFonts w:hint="eastAsia" w:ascii="仿宋_GB2312" w:hAnsi="宋体"/>
          <w:szCs w:val="32"/>
          <w:highlight w:val="none"/>
        </w:rPr>
        <w:t>一般该项工作是年底才进行，</w:t>
      </w:r>
      <w:r>
        <w:rPr>
          <w:rFonts w:hint="eastAsia" w:ascii="仿宋_GB2312" w:hAnsi="宋体"/>
          <w:szCs w:val="32"/>
          <w:highlight w:val="none"/>
          <w:lang w:val="zh-CN"/>
        </w:rPr>
        <w:t>影响项目预算执行进度。</w:t>
      </w:r>
    </w:p>
    <w:p>
      <w:pPr>
        <w:adjustRightInd w:val="0"/>
        <w:snapToGrid w:val="0"/>
        <w:spacing w:line="600" w:lineRule="exact"/>
        <w:ind w:firstLine="720"/>
        <w:rPr>
          <w:rFonts w:ascii="仿宋_GB2312" w:hAnsi="宋体"/>
          <w:szCs w:val="32"/>
          <w:highlight w:val="none"/>
          <w:lang w:val="zh-CN"/>
        </w:rPr>
      </w:pPr>
      <w:r>
        <w:rPr>
          <w:rFonts w:hint="eastAsia" w:ascii="黑体" w:hAnsi="宋体" w:eastAsia="黑体"/>
          <w:szCs w:val="32"/>
          <w:highlight w:val="none"/>
        </w:rPr>
        <w:t>四、项目绩效情况</w:t>
      </w:r>
      <w:r>
        <w:rPr>
          <w:rFonts w:ascii="仿宋_GB2312" w:hAnsi="宋体"/>
          <w:szCs w:val="32"/>
          <w:highlight w:val="none"/>
          <w:lang w:val="zh-CN"/>
        </w:rPr>
        <w:tab/>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（一）项目完成情况。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仿宋_GB2312" w:hAnsi="宋体"/>
          <w:szCs w:val="32"/>
          <w:highlight w:val="none"/>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（二）项目效益情况。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五、评价结论及建议</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（一）评价结论。</w:t>
      </w:r>
    </w:p>
    <w:p>
      <w:pPr>
        <w:adjustRightInd w:val="0"/>
        <w:snapToGrid w:val="0"/>
        <w:spacing w:line="600" w:lineRule="exact"/>
        <w:ind w:firstLine="640" w:firstLineChars="200"/>
        <w:jc w:val="center"/>
        <w:rPr>
          <w:highlight w:val="none"/>
          <w:lang w:val="zh-CN"/>
        </w:rPr>
      </w:pPr>
    </w:p>
    <w:p>
      <w:pPr>
        <w:adjustRightInd w:val="0"/>
        <w:snapToGrid w:val="0"/>
        <w:spacing w:line="600" w:lineRule="exact"/>
        <w:ind w:firstLine="640" w:firstLineChars="200"/>
        <w:jc w:val="center"/>
        <w:rPr>
          <w:highlight w:val="none"/>
          <w:lang w:val="zh-CN"/>
        </w:rPr>
      </w:pPr>
    </w:p>
    <w:p>
      <w:pPr>
        <w:pStyle w:val="2"/>
        <w:ind w:left="2560"/>
        <w:rPr>
          <w:highlight w:val="none"/>
          <w:lang w:val="zh-CN"/>
        </w:rPr>
      </w:pPr>
    </w:p>
    <w:p>
      <w:pPr>
        <w:rPr>
          <w:highlight w:val="none"/>
          <w:lang w:val="zh-CN"/>
        </w:rPr>
      </w:pPr>
    </w:p>
    <w:p>
      <w:pPr>
        <w:adjustRightInd w:val="0"/>
        <w:snapToGrid w:val="0"/>
        <w:spacing w:line="600" w:lineRule="exact"/>
        <w:ind w:firstLine="640" w:firstLineChars="200"/>
        <w:jc w:val="center"/>
        <w:rPr>
          <w:highlight w:val="none"/>
          <w:lang w:val="zh-CN"/>
        </w:rPr>
      </w:pPr>
      <w:r>
        <w:rPr>
          <w:rFonts w:hint="eastAsia"/>
          <w:highlight w:val="none"/>
          <w:lang w:val="zh-CN"/>
        </w:rPr>
        <w:t>“</w:t>
      </w:r>
      <w:r>
        <w:rPr>
          <w:rFonts w:hint="eastAsia"/>
          <w:highlight w:val="none"/>
        </w:rPr>
        <w:t>清风问政</w:t>
      </w:r>
      <w:r>
        <w:rPr>
          <w:rFonts w:hint="eastAsia"/>
          <w:highlight w:val="none"/>
          <w:lang w:val="zh-CN"/>
        </w:rPr>
        <w:t>”部门预算项目绩效自评表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0"/>
        <w:gridCol w:w="2236"/>
        <w:gridCol w:w="1419"/>
        <w:gridCol w:w="1759"/>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155" w:type="dxa"/>
            <w:gridSpan w:val="3"/>
          </w:tcPr>
          <w:p>
            <w:pPr>
              <w:pStyle w:val="2"/>
              <w:ind w:left="0" w:leftChars="0"/>
              <w:rPr>
                <w:sz w:val="22"/>
                <w:szCs w:val="20"/>
                <w:highlight w:val="none"/>
                <w:lang w:val="zh-CN"/>
              </w:rPr>
            </w:pPr>
            <w:r>
              <w:rPr>
                <w:rFonts w:hint="eastAsia"/>
                <w:sz w:val="22"/>
                <w:szCs w:val="20"/>
                <w:highlight w:val="none"/>
                <w:lang w:val="zh-CN"/>
              </w:rPr>
              <w:t>绩效指标</w:t>
            </w:r>
          </w:p>
          <w:p>
            <w:pPr>
              <w:pStyle w:val="2"/>
              <w:ind w:left="0" w:leftChars="0"/>
              <w:rPr>
                <w:sz w:val="22"/>
                <w:szCs w:val="20"/>
                <w:highlight w:val="none"/>
                <w:lang w:val="zh-CN"/>
              </w:rPr>
            </w:pPr>
          </w:p>
        </w:tc>
        <w:tc>
          <w:tcPr>
            <w:tcW w:w="1759" w:type="dxa"/>
            <w:vMerge w:val="restart"/>
          </w:tcPr>
          <w:p>
            <w:pPr>
              <w:pStyle w:val="2"/>
              <w:ind w:left="0" w:leftChars="0"/>
              <w:rPr>
                <w:sz w:val="22"/>
                <w:szCs w:val="20"/>
                <w:highlight w:val="none"/>
                <w:lang w:val="zh-CN"/>
              </w:rPr>
            </w:pPr>
            <w:r>
              <w:rPr>
                <w:rFonts w:hint="eastAsia"/>
                <w:sz w:val="22"/>
                <w:szCs w:val="20"/>
                <w:highlight w:val="none"/>
                <w:lang w:val="zh-CN"/>
              </w:rPr>
              <w:t>指标分值</w:t>
            </w:r>
          </w:p>
          <w:p>
            <w:pPr>
              <w:pStyle w:val="2"/>
              <w:ind w:left="0" w:leftChars="0"/>
              <w:rPr>
                <w:sz w:val="22"/>
                <w:szCs w:val="20"/>
                <w:highlight w:val="none"/>
              </w:rPr>
            </w:pPr>
          </w:p>
        </w:tc>
        <w:tc>
          <w:tcPr>
            <w:tcW w:w="1608" w:type="dxa"/>
            <w:vMerge w:val="restart"/>
          </w:tcPr>
          <w:p>
            <w:pPr>
              <w:pStyle w:val="2"/>
              <w:ind w:left="0" w:leftChars="0"/>
              <w:rPr>
                <w:sz w:val="22"/>
                <w:szCs w:val="20"/>
                <w:highlight w:val="none"/>
                <w:lang w:val="zh-CN"/>
              </w:rPr>
            </w:pPr>
            <w:r>
              <w:rPr>
                <w:rFonts w:hint="eastAsia"/>
                <w:sz w:val="22"/>
                <w:szCs w:val="20"/>
                <w:highlight w:val="none"/>
                <w:lang w:val="zh-CN"/>
              </w:rPr>
              <w:t>自评</w:t>
            </w:r>
            <w:r>
              <w:rPr>
                <w:rFonts w:hint="eastAsia"/>
                <w:sz w:val="22"/>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 xml:space="preserve">一级指标 </w:t>
            </w:r>
          </w:p>
        </w:tc>
        <w:tc>
          <w:tcPr>
            <w:tcW w:w="2236" w:type="dxa"/>
          </w:tcPr>
          <w:p>
            <w:pPr>
              <w:pStyle w:val="2"/>
              <w:ind w:left="0" w:leftChars="0"/>
              <w:rPr>
                <w:sz w:val="22"/>
                <w:szCs w:val="20"/>
                <w:highlight w:val="none"/>
                <w:lang w:val="zh-CN"/>
              </w:rPr>
            </w:pPr>
            <w:r>
              <w:rPr>
                <w:rFonts w:hint="eastAsia"/>
                <w:sz w:val="22"/>
                <w:szCs w:val="20"/>
                <w:highlight w:val="none"/>
                <w:lang w:val="zh-CN"/>
              </w:rPr>
              <w:t xml:space="preserve">二级指标 </w:t>
            </w:r>
          </w:p>
        </w:tc>
        <w:tc>
          <w:tcPr>
            <w:tcW w:w="1419" w:type="dxa"/>
          </w:tcPr>
          <w:p>
            <w:pPr>
              <w:pStyle w:val="2"/>
              <w:ind w:left="0" w:leftChars="0"/>
              <w:rPr>
                <w:sz w:val="22"/>
                <w:szCs w:val="20"/>
                <w:highlight w:val="none"/>
                <w:lang w:val="zh-CN"/>
              </w:rPr>
            </w:pPr>
            <w:r>
              <w:rPr>
                <w:rFonts w:hint="eastAsia"/>
                <w:sz w:val="22"/>
                <w:szCs w:val="20"/>
                <w:highlight w:val="none"/>
                <w:lang w:val="zh-CN"/>
              </w:rPr>
              <w:t>三级指标</w:t>
            </w:r>
          </w:p>
        </w:tc>
        <w:tc>
          <w:tcPr>
            <w:tcW w:w="1759" w:type="dxa"/>
            <w:vMerge w:val="continue"/>
          </w:tcPr>
          <w:p>
            <w:pPr>
              <w:pStyle w:val="2"/>
              <w:ind w:left="0" w:leftChars="0"/>
              <w:rPr>
                <w:sz w:val="22"/>
                <w:szCs w:val="20"/>
                <w:highlight w:val="none"/>
              </w:rPr>
            </w:pPr>
          </w:p>
        </w:tc>
        <w:tc>
          <w:tcPr>
            <w:tcW w:w="1608" w:type="dxa"/>
            <w:vMerge w:val="continue"/>
          </w:tcPr>
          <w:p>
            <w:pPr>
              <w:pStyle w:val="2"/>
              <w:ind w:left="0" w:leftChars="0"/>
              <w:rPr>
                <w:sz w:val="22"/>
                <w:szCs w:val="20"/>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部门预算管理（70 分）</w:t>
            </w:r>
          </w:p>
          <w:p>
            <w:pPr>
              <w:pStyle w:val="2"/>
              <w:ind w:left="0" w:leftChars="0"/>
              <w:rPr>
                <w:sz w:val="22"/>
                <w:szCs w:val="20"/>
                <w:highlight w:val="none"/>
                <w:lang w:val="zh-CN"/>
              </w:rPr>
            </w:pPr>
          </w:p>
        </w:tc>
        <w:tc>
          <w:tcPr>
            <w:tcW w:w="2236" w:type="dxa"/>
            <w:vMerge w:val="restart"/>
          </w:tcPr>
          <w:p>
            <w:pPr>
              <w:pStyle w:val="2"/>
              <w:ind w:left="0" w:leftChars="0"/>
              <w:rPr>
                <w:sz w:val="22"/>
                <w:szCs w:val="20"/>
                <w:highlight w:val="none"/>
                <w:lang w:val="zh-CN"/>
              </w:rPr>
            </w:pPr>
            <w:r>
              <w:rPr>
                <w:rFonts w:hint="eastAsia"/>
                <w:sz w:val="22"/>
                <w:szCs w:val="20"/>
                <w:highlight w:val="none"/>
                <w:lang w:val="zh-CN"/>
              </w:rPr>
              <w:t>预算编制（30 分）</w:t>
            </w:r>
          </w:p>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目标制定</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目标实现</w:t>
            </w:r>
          </w:p>
        </w:tc>
        <w:tc>
          <w:tcPr>
            <w:tcW w:w="1759" w:type="dxa"/>
          </w:tcPr>
          <w:p>
            <w:pPr>
              <w:rPr>
                <w:sz w:val="22"/>
                <w:szCs w:val="20"/>
                <w:highlight w:val="none"/>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 xml:space="preserve">编制准确 </w:t>
            </w:r>
          </w:p>
        </w:tc>
        <w:tc>
          <w:tcPr>
            <w:tcW w:w="1759" w:type="dxa"/>
          </w:tcPr>
          <w:p>
            <w:pPr>
              <w:pStyle w:val="2"/>
              <w:ind w:left="0" w:leftChars="0"/>
              <w:rPr>
                <w:sz w:val="22"/>
                <w:szCs w:val="20"/>
                <w:highlight w:val="none"/>
              </w:rPr>
            </w:pPr>
            <w:r>
              <w:rPr>
                <w:rFonts w:hint="eastAsia"/>
                <w:sz w:val="22"/>
                <w:szCs w:val="20"/>
                <w:highlight w:val="none"/>
              </w:rPr>
              <w:t>10</w:t>
            </w:r>
          </w:p>
        </w:tc>
        <w:tc>
          <w:tcPr>
            <w:tcW w:w="1608" w:type="dxa"/>
          </w:tcPr>
          <w:p>
            <w:pPr>
              <w:pStyle w:val="2"/>
              <w:ind w:left="0" w:leftChars="0"/>
              <w:rPr>
                <w:sz w:val="22"/>
                <w:szCs w:val="20"/>
                <w:highlight w:val="none"/>
              </w:rPr>
            </w:pPr>
            <w:r>
              <w:rPr>
                <w:rFonts w:hint="eastAsia"/>
                <w:sz w:val="22"/>
                <w:szCs w:val="20"/>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预算执行（20 分）</w:t>
            </w:r>
          </w:p>
        </w:tc>
        <w:tc>
          <w:tcPr>
            <w:tcW w:w="1419" w:type="dxa"/>
          </w:tcPr>
          <w:p>
            <w:pPr>
              <w:pStyle w:val="2"/>
              <w:ind w:left="0" w:leftChars="0"/>
              <w:rPr>
                <w:sz w:val="22"/>
                <w:szCs w:val="20"/>
                <w:highlight w:val="none"/>
                <w:lang w:val="zh-CN"/>
              </w:rPr>
            </w:pPr>
            <w:r>
              <w:rPr>
                <w:rFonts w:hint="eastAsia"/>
                <w:sz w:val="22"/>
                <w:szCs w:val="20"/>
                <w:highlight w:val="none"/>
                <w:lang w:val="zh-CN"/>
              </w:rPr>
              <w:t>执行进度</w:t>
            </w:r>
          </w:p>
        </w:tc>
        <w:tc>
          <w:tcPr>
            <w:tcW w:w="1759" w:type="dxa"/>
          </w:tcPr>
          <w:p>
            <w:pPr>
              <w:rPr>
                <w:sz w:val="22"/>
                <w:szCs w:val="20"/>
                <w:highlight w:val="none"/>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完成结果（20 分）</w:t>
            </w:r>
          </w:p>
        </w:tc>
        <w:tc>
          <w:tcPr>
            <w:tcW w:w="1419" w:type="dxa"/>
          </w:tcPr>
          <w:p>
            <w:pPr>
              <w:pStyle w:val="2"/>
              <w:ind w:left="0" w:leftChars="0"/>
              <w:rPr>
                <w:sz w:val="22"/>
                <w:szCs w:val="20"/>
                <w:highlight w:val="none"/>
                <w:lang w:val="zh-CN"/>
              </w:rPr>
            </w:pPr>
            <w:r>
              <w:rPr>
                <w:rFonts w:hint="eastAsia"/>
                <w:sz w:val="22"/>
                <w:szCs w:val="20"/>
                <w:highlight w:val="none"/>
                <w:lang w:val="zh-CN"/>
              </w:rPr>
              <w:t>预算完成</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绩效结果应用（20 分）</w:t>
            </w:r>
          </w:p>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信息公开（10 分)</w:t>
            </w:r>
          </w:p>
        </w:tc>
        <w:tc>
          <w:tcPr>
            <w:tcW w:w="1419" w:type="dxa"/>
          </w:tcPr>
          <w:p>
            <w:pPr>
              <w:pStyle w:val="2"/>
              <w:ind w:left="0" w:leftChars="0"/>
              <w:rPr>
                <w:sz w:val="22"/>
                <w:szCs w:val="20"/>
                <w:highlight w:val="none"/>
                <w:lang w:val="zh-CN"/>
              </w:rPr>
            </w:pPr>
            <w:r>
              <w:rPr>
                <w:rFonts w:hint="eastAsia"/>
                <w:sz w:val="22"/>
                <w:szCs w:val="20"/>
                <w:highlight w:val="none"/>
                <w:lang w:val="zh-CN"/>
              </w:rPr>
              <w:t>自评公开</w:t>
            </w:r>
          </w:p>
        </w:tc>
        <w:tc>
          <w:tcPr>
            <w:tcW w:w="1759" w:type="dxa"/>
          </w:tcPr>
          <w:p>
            <w:pPr>
              <w:pStyle w:val="2"/>
              <w:ind w:left="0" w:leftChars="0"/>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整改反馈（10 分）</w:t>
            </w:r>
          </w:p>
        </w:tc>
        <w:tc>
          <w:tcPr>
            <w:tcW w:w="1419" w:type="dxa"/>
          </w:tcPr>
          <w:p>
            <w:pPr>
              <w:pStyle w:val="2"/>
              <w:ind w:left="0" w:leftChars="0"/>
              <w:rPr>
                <w:sz w:val="22"/>
                <w:szCs w:val="20"/>
                <w:highlight w:val="none"/>
                <w:lang w:val="zh-CN"/>
              </w:rPr>
            </w:pPr>
            <w:r>
              <w:rPr>
                <w:rFonts w:hint="eastAsia"/>
                <w:sz w:val="22"/>
                <w:szCs w:val="20"/>
                <w:highlight w:val="none"/>
                <w:lang w:val="zh-CN"/>
              </w:rPr>
              <w:t>结果整改</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2236"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1419" w:type="dxa"/>
          </w:tcPr>
          <w:p>
            <w:pPr>
              <w:pStyle w:val="2"/>
              <w:ind w:left="0" w:leftChars="0"/>
              <w:rPr>
                <w:sz w:val="22"/>
                <w:szCs w:val="20"/>
                <w:highlight w:val="none"/>
                <w:lang w:val="zh-CN"/>
              </w:rPr>
            </w:pPr>
            <w:r>
              <w:rPr>
                <w:rFonts w:hint="eastAsia"/>
                <w:sz w:val="22"/>
                <w:szCs w:val="20"/>
                <w:highlight w:val="none"/>
                <w:lang w:val="zh-CN"/>
              </w:rPr>
              <w:t>自评准确</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4" w:type="dxa"/>
            <w:gridSpan w:val="4"/>
          </w:tcPr>
          <w:p>
            <w:pPr>
              <w:pStyle w:val="2"/>
              <w:ind w:left="0" w:leftChars="0"/>
              <w:jc w:val="center"/>
              <w:rPr>
                <w:sz w:val="22"/>
                <w:szCs w:val="20"/>
                <w:highlight w:val="none"/>
              </w:rPr>
            </w:pPr>
            <w:r>
              <w:rPr>
                <w:rFonts w:hint="eastAsia"/>
                <w:sz w:val="22"/>
                <w:szCs w:val="20"/>
                <w:highlight w:val="none"/>
              </w:rPr>
              <w:t>合计</w:t>
            </w:r>
          </w:p>
        </w:tc>
        <w:tc>
          <w:tcPr>
            <w:tcW w:w="1608" w:type="dxa"/>
          </w:tcPr>
          <w:p>
            <w:pPr>
              <w:pStyle w:val="2"/>
              <w:ind w:left="0" w:leftChars="0"/>
              <w:rPr>
                <w:sz w:val="22"/>
                <w:szCs w:val="20"/>
                <w:highlight w:val="none"/>
              </w:rPr>
            </w:pPr>
            <w:r>
              <w:rPr>
                <w:rFonts w:hint="eastAsia"/>
                <w:sz w:val="22"/>
                <w:szCs w:val="20"/>
                <w:highlight w:val="none"/>
              </w:rPr>
              <w:t>94</w:t>
            </w:r>
          </w:p>
        </w:tc>
      </w:tr>
    </w:tbl>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（二）存在的问题。</w:t>
      </w:r>
    </w:p>
    <w:p>
      <w:pPr>
        <w:pStyle w:val="2"/>
        <w:ind w:left="0" w:leftChars="0" w:firstLine="640" w:firstLineChars="200"/>
        <w:rPr>
          <w:rFonts w:ascii="仿宋_GB2312" w:hAnsi="宋体"/>
          <w:szCs w:val="32"/>
          <w:highlight w:val="none"/>
          <w:lang w:val="zh-CN"/>
        </w:rPr>
      </w:pPr>
      <w:r>
        <w:rPr>
          <w:rFonts w:hint="eastAsia" w:ascii="仿宋_GB2312" w:hAnsi="宋体"/>
          <w:szCs w:val="32"/>
          <w:highlight w:val="none"/>
        </w:rPr>
        <w:t>编制预算不够准确。本项目年初计划开展2期，预算12.75万，因工作需要，调整为1期，实际资金支出5万。</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（三）相关建议。</w:t>
      </w:r>
    </w:p>
    <w:p>
      <w:pPr>
        <w:pStyle w:val="2"/>
        <w:ind w:left="0" w:leftChars="0" w:firstLine="640" w:firstLineChars="200"/>
        <w:rPr>
          <w:rFonts w:ascii="仿宋_GB2312" w:hAnsi="仿宋_GB2312" w:cs="仿宋_GB2312"/>
          <w:szCs w:val="32"/>
          <w:highlight w:val="none"/>
        </w:rPr>
      </w:pPr>
      <w:r>
        <w:rPr>
          <w:rFonts w:hint="eastAsia" w:ascii="仿宋_GB2312" w:hAnsi="仿宋_GB2312" w:cs="仿宋_GB2312"/>
          <w:szCs w:val="32"/>
          <w:highlight w:val="none"/>
          <w:lang w:val="en-US" w:eastAsia="zh-CN"/>
        </w:rPr>
        <w:t>加强预算编制和执行力度</w:t>
      </w:r>
      <w:r>
        <w:rPr>
          <w:rFonts w:hint="eastAsia" w:ascii="仿宋_GB2312" w:hAnsi="仿宋_GB2312" w:cs="仿宋_GB2312"/>
          <w:szCs w:val="32"/>
          <w:highlight w:val="none"/>
        </w:rPr>
        <w:t>。</w:t>
      </w:r>
    </w:p>
    <w:p>
      <w:pPr>
        <w:spacing w:line="580" w:lineRule="exact"/>
        <w:ind w:firstLine="640"/>
        <w:rPr>
          <w:rFonts w:ascii="仿宋_GB2312" w:hAnsi="仿宋_GB2312" w:cs="仿宋_GB2312"/>
          <w:szCs w:val="32"/>
          <w:highlight w:val="none"/>
        </w:rPr>
      </w:pPr>
    </w:p>
    <w:p>
      <w:pPr>
        <w:widowControl/>
        <w:jc w:val="left"/>
        <w:rPr>
          <w:rStyle w:val="20"/>
          <w:rFonts w:ascii="黑体" w:hAnsi="黑体" w:eastAsia="黑体"/>
          <w:b w:val="0"/>
          <w:highlight w:val="none"/>
        </w:rPr>
      </w:pPr>
    </w:p>
    <w:p>
      <w:pPr>
        <w:widowControl/>
        <w:jc w:val="left"/>
        <w:rPr>
          <w:rStyle w:val="20"/>
          <w:rFonts w:ascii="黑体" w:hAnsi="黑体" w:eastAsia="黑体"/>
          <w:b w:val="0"/>
          <w:highlight w:val="none"/>
        </w:rPr>
      </w:pPr>
      <w:r>
        <w:rPr>
          <w:rStyle w:val="20"/>
          <w:rFonts w:ascii="黑体" w:hAnsi="黑体" w:eastAsia="黑体"/>
          <w:b w:val="0"/>
          <w:highlight w:val="none"/>
        </w:rPr>
        <w:br w:type="page"/>
      </w:r>
    </w:p>
    <w:p>
      <w:pPr>
        <w:spacing w:line="600" w:lineRule="exact"/>
        <w:jc w:val="center"/>
        <w:rPr>
          <w:rFonts w:ascii="方正小标宋简体" w:hAnsi="宋体" w:eastAsia="方正小标宋简体"/>
          <w:color w:val="000000"/>
          <w:kern w:val="0"/>
          <w:sz w:val="44"/>
          <w:szCs w:val="44"/>
          <w:highlight w:val="none"/>
          <w:lang w:val="zh-CN"/>
        </w:rPr>
      </w:pPr>
      <w:bookmarkStart w:id="63" w:name="_Toc15396618"/>
      <w:bookmarkStart w:id="64" w:name="_Toc32283"/>
      <w:r>
        <w:rPr>
          <w:rFonts w:hint="eastAsia" w:ascii="方正小标宋简体" w:hAnsi="宋体" w:eastAsia="方正小标宋简体"/>
          <w:color w:val="000000"/>
          <w:kern w:val="0"/>
          <w:sz w:val="44"/>
          <w:szCs w:val="44"/>
          <w:highlight w:val="none"/>
        </w:rPr>
        <w:t>纪检审查经费</w:t>
      </w:r>
      <w:r>
        <w:rPr>
          <w:rFonts w:hint="eastAsia" w:ascii="方正小标宋简体" w:hAnsi="宋体" w:eastAsia="方正小标宋简体"/>
          <w:color w:val="000000"/>
          <w:kern w:val="0"/>
          <w:sz w:val="44"/>
          <w:szCs w:val="44"/>
          <w:highlight w:val="none"/>
          <w:lang w:val="zh-CN"/>
        </w:rPr>
        <w:t>项目</w:t>
      </w:r>
      <w:r>
        <w:rPr>
          <w:rFonts w:ascii="方正小标宋简体" w:hAnsi="宋体" w:eastAsia="方正小标宋简体"/>
          <w:color w:val="000000"/>
          <w:kern w:val="0"/>
          <w:sz w:val="44"/>
          <w:szCs w:val="44"/>
          <w:highlight w:val="none"/>
        </w:rPr>
        <w:t>2020</w:t>
      </w:r>
      <w:r>
        <w:rPr>
          <w:rFonts w:hint="eastAsia" w:ascii="方正小标宋简体" w:hAnsi="宋体" w:eastAsia="方正小标宋简体"/>
          <w:color w:val="000000"/>
          <w:kern w:val="0"/>
          <w:sz w:val="44"/>
          <w:szCs w:val="44"/>
          <w:highlight w:val="none"/>
        </w:rPr>
        <w:t>年</w:t>
      </w:r>
      <w:r>
        <w:rPr>
          <w:rFonts w:hint="eastAsia" w:ascii="方正小标宋简体" w:hAnsi="宋体" w:eastAsia="方正小标宋简体"/>
          <w:color w:val="000000"/>
          <w:kern w:val="0"/>
          <w:sz w:val="44"/>
          <w:szCs w:val="44"/>
          <w:highlight w:val="none"/>
          <w:lang w:val="zh-CN"/>
        </w:rPr>
        <w:t>绩效评价报告</w:t>
      </w:r>
    </w:p>
    <w:p>
      <w:pPr>
        <w:spacing w:line="600" w:lineRule="exact"/>
        <w:rPr>
          <w:rFonts w:ascii="宋体"/>
          <w:szCs w:val="32"/>
          <w:highlight w:val="none"/>
          <w:lang w:val="zh-CN"/>
        </w:rPr>
      </w:pPr>
    </w:p>
    <w:p>
      <w:pPr>
        <w:adjustRightInd w:val="0"/>
        <w:snapToGrid w:val="0"/>
        <w:spacing w:line="600" w:lineRule="exact"/>
        <w:ind w:firstLine="720"/>
        <w:rPr>
          <w:rFonts w:ascii="黑体" w:hAnsi="宋体" w:eastAsia="黑体"/>
          <w:szCs w:val="32"/>
          <w:highlight w:val="none"/>
          <w:lang w:val="zh-CN"/>
        </w:rPr>
      </w:pPr>
      <w:r>
        <w:rPr>
          <w:rFonts w:hint="eastAsia" w:ascii="黑体" w:hAnsi="宋体" w:eastAsia="黑体"/>
          <w:szCs w:val="32"/>
          <w:highlight w:val="none"/>
        </w:rPr>
        <w:t>一、</w:t>
      </w:r>
      <w:r>
        <w:rPr>
          <w:rFonts w:hint="eastAsia" w:ascii="黑体" w:hAnsi="宋体" w:eastAsia="黑体"/>
          <w:szCs w:val="32"/>
          <w:highlight w:val="none"/>
          <w:lang w:val="zh-CN"/>
        </w:rPr>
        <w:t>项目概况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（一）项目基本情况。</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1</w:t>
      </w:r>
      <w:r>
        <w:rPr>
          <w:rFonts w:hint="eastAsia" w:ascii="仿宋_GB2312" w:hAnsi="宋体"/>
          <w:szCs w:val="32"/>
          <w:highlight w:val="none"/>
          <w:lang w:val="zh-CN"/>
        </w:rPr>
        <w:t>．项目管理的职能。</w:t>
      </w:r>
    </w:p>
    <w:p>
      <w:pPr>
        <w:ind w:firstLine="640" w:firstLineChars="200"/>
        <w:rPr>
          <w:rFonts w:ascii="仿宋_GB2312" w:hAnsi="宋体"/>
          <w:szCs w:val="32"/>
          <w:highlight w:val="none"/>
        </w:rPr>
      </w:pPr>
      <w:r>
        <w:rPr>
          <w:szCs w:val="32"/>
          <w:highlight w:val="none"/>
        </w:rPr>
        <w:t>依照党的章程和其他党内法规履行监督、执纪、问责职责</w:t>
      </w:r>
      <w:r>
        <w:rPr>
          <w:rFonts w:hint="eastAsia"/>
          <w:szCs w:val="32"/>
          <w:highlight w:val="none"/>
        </w:rPr>
        <w:t>；</w:t>
      </w:r>
      <w:r>
        <w:rPr>
          <w:szCs w:val="32"/>
          <w:highlight w:val="none"/>
        </w:rPr>
        <w:t>负责全区监察工作。</w:t>
      </w:r>
    </w:p>
    <w:p>
      <w:pPr>
        <w:numPr>
          <w:ilvl w:val="0"/>
          <w:numId w:val="8"/>
        </w:num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lang w:val="zh-CN"/>
        </w:rPr>
        <w:t>项目立项、资金申报的依据。</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rPr>
        <w:t>根据市下目标考核任务和区纪委年初既定目标任务履行监督责任。</w:t>
      </w:r>
    </w:p>
    <w:p>
      <w:pPr>
        <w:adjustRightInd w:val="0"/>
        <w:snapToGrid w:val="0"/>
        <w:spacing w:line="600" w:lineRule="exact"/>
        <w:ind w:firstLine="720"/>
        <w:rPr>
          <w:rFonts w:ascii="仿宋_GB2312" w:hAnsi="宋体"/>
          <w:szCs w:val="32"/>
          <w:highlight w:val="none"/>
        </w:rPr>
      </w:pPr>
      <w:r>
        <w:rPr>
          <w:rFonts w:ascii="仿宋_GB2312" w:hAnsi="宋体"/>
          <w:szCs w:val="32"/>
          <w:highlight w:val="none"/>
          <w:lang w:val="zh-CN"/>
        </w:rPr>
        <w:t>3</w:t>
      </w:r>
      <w:r>
        <w:rPr>
          <w:rFonts w:hint="eastAsia" w:ascii="仿宋_GB2312" w:hAnsi="宋体"/>
          <w:szCs w:val="32"/>
          <w:highlight w:val="none"/>
          <w:lang w:val="zh-CN"/>
        </w:rPr>
        <w:t>．资金管理办法制定情况，资金支持具体项目的条件、范围与支持方式概况。</w:t>
      </w:r>
      <w:r>
        <w:rPr>
          <w:rFonts w:hint="eastAsia" w:ascii="仿宋_GB2312" w:hAnsi="宋体"/>
          <w:szCs w:val="32"/>
          <w:highlight w:val="none"/>
        </w:rPr>
        <w:t>该项目主要用于综合运用监督执纪“四种形态”，进一步营造良好政治生态。主要运用在执纪监督、留置专案中产生的住宿费、差旅费、办案人员补助、公车运行维护费等。</w:t>
      </w:r>
    </w:p>
    <w:p>
      <w:pPr>
        <w:adjustRightInd w:val="0"/>
        <w:snapToGrid w:val="0"/>
        <w:spacing w:line="600" w:lineRule="exact"/>
        <w:ind w:firstLine="720"/>
        <w:rPr>
          <w:rFonts w:ascii="仿宋_GB2312" w:hAnsi="宋体"/>
          <w:szCs w:val="32"/>
          <w:highlight w:val="none"/>
        </w:rPr>
      </w:pPr>
      <w:r>
        <w:rPr>
          <w:rFonts w:ascii="仿宋_GB2312" w:hAnsi="宋体"/>
          <w:szCs w:val="32"/>
          <w:highlight w:val="none"/>
          <w:lang w:val="zh-CN"/>
        </w:rPr>
        <w:t>4</w:t>
      </w:r>
      <w:r>
        <w:rPr>
          <w:rFonts w:hint="eastAsia" w:ascii="仿宋_GB2312" w:hAnsi="宋体"/>
          <w:szCs w:val="32"/>
          <w:highlight w:val="none"/>
          <w:lang w:val="zh-CN"/>
        </w:rPr>
        <w:t>．资金分配的原则及考虑因素。</w:t>
      </w:r>
      <w:r>
        <w:rPr>
          <w:rFonts w:hint="eastAsia" w:ascii="仿宋_GB2312" w:hAnsi="宋体"/>
          <w:szCs w:val="32"/>
          <w:highlight w:val="none"/>
        </w:rPr>
        <w:t>据实报销。</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（二）项目绩效目标。</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1</w:t>
      </w:r>
      <w:r>
        <w:rPr>
          <w:rFonts w:hint="eastAsia" w:ascii="仿宋_GB2312" w:hAnsi="宋体"/>
          <w:szCs w:val="32"/>
          <w:highlight w:val="none"/>
          <w:lang w:val="zh-CN"/>
        </w:rPr>
        <w:t>．项目主要内容。通过项目实施，推动全区各级实践运用监督执纪“四种形态”处理155人次，其中第一种形态91人次、占58.7%，第二种形态56人次、占36.1%，第三种形态4人次、占2.6%，第四种形态4人次、占2.6%。</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2</w:t>
      </w:r>
      <w:r>
        <w:rPr>
          <w:rFonts w:hint="eastAsia" w:ascii="仿宋_GB2312" w:hAnsi="宋体"/>
          <w:szCs w:val="32"/>
          <w:highlight w:val="none"/>
          <w:lang w:val="zh-CN"/>
        </w:rPr>
        <w:t>．项目应实现的具体绩效目标，包括目标的量化、细化情况以及项目实施进度计划等。</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开展监督执纪、追责问责数大等于50，</w:t>
      </w:r>
      <w:r>
        <w:rPr>
          <w:rFonts w:hint="eastAsia" w:ascii="仿宋_GB2312" w:hAnsi="宋体"/>
          <w:szCs w:val="32"/>
          <w:highlight w:val="none"/>
        </w:rPr>
        <w:t>本年</w:t>
      </w:r>
      <w:r>
        <w:rPr>
          <w:rFonts w:hint="eastAsia" w:ascii="仿宋_GB2312" w:hAnsi="宋体"/>
          <w:szCs w:val="32"/>
          <w:highlight w:val="none"/>
          <w:lang w:val="zh-CN"/>
        </w:rPr>
        <w:t>追责问责155人；时效指标</w:t>
      </w:r>
      <w:r>
        <w:rPr>
          <w:rFonts w:hint="eastAsia" w:ascii="仿宋_GB2312" w:hAnsi="宋体"/>
          <w:szCs w:val="32"/>
          <w:highlight w:val="none"/>
          <w:lang w:val="zh-CN"/>
        </w:rPr>
        <w:tab/>
      </w:r>
      <w:r>
        <w:rPr>
          <w:rFonts w:hint="eastAsia" w:ascii="仿宋_GB2312" w:hAnsi="宋体"/>
          <w:szCs w:val="32"/>
          <w:highlight w:val="none"/>
          <w:lang w:val="zh-CN"/>
        </w:rPr>
        <w:t>年底全面完成度，年底完成100%；可持续影响指标在一定时期内发挥影响，全年</w:t>
      </w:r>
      <w:r>
        <w:rPr>
          <w:rFonts w:hint="eastAsia" w:ascii="仿宋_GB2312" w:hAnsi="宋体"/>
          <w:szCs w:val="32"/>
          <w:highlight w:val="none"/>
        </w:rPr>
        <w:t>持续发挥影响；</w:t>
      </w:r>
      <w:r>
        <w:rPr>
          <w:rFonts w:hint="eastAsia" w:ascii="仿宋_GB2312" w:hAnsi="宋体"/>
          <w:szCs w:val="32"/>
          <w:highlight w:val="none"/>
          <w:lang w:val="zh-CN"/>
        </w:rPr>
        <w:t>满意度指标，群众满意度大等</w:t>
      </w:r>
      <w:r>
        <w:rPr>
          <w:rFonts w:hint="eastAsia" w:ascii="仿宋_GB2312" w:hAnsi="宋体"/>
          <w:szCs w:val="32"/>
          <w:highlight w:val="none"/>
        </w:rPr>
        <w:t>于</w:t>
      </w:r>
      <w:r>
        <w:rPr>
          <w:rFonts w:hint="eastAsia" w:ascii="仿宋_GB2312" w:hAnsi="宋体"/>
          <w:szCs w:val="32"/>
          <w:highlight w:val="none"/>
          <w:lang w:val="zh-CN"/>
        </w:rPr>
        <w:t>80%。</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3</w:t>
      </w:r>
      <w:r>
        <w:rPr>
          <w:rFonts w:hint="eastAsia" w:ascii="仿宋_GB2312" w:hAnsi="宋体"/>
          <w:szCs w:val="32"/>
          <w:highlight w:val="none"/>
          <w:lang w:val="zh-CN"/>
        </w:rPr>
        <w:t>．分析评价申报内容是否与实际相符，申报目标是否合理可行。根据自评情况和年度项目预期目标实现程度，</w:t>
      </w:r>
      <w:r>
        <w:rPr>
          <w:rFonts w:hint="eastAsia" w:ascii="仿宋_GB2312" w:hAnsi="宋体"/>
          <w:szCs w:val="32"/>
          <w:highlight w:val="none"/>
        </w:rPr>
        <w:t>本部门</w:t>
      </w:r>
      <w:r>
        <w:rPr>
          <w:rFonts w:hint="eastAsia" w:ascii="仿宋_GB2312" w:hAnsi="宋体"/>
          <w:szCs w:val="32"/>
          <w:highlight w:val="none"/>
          <w:lang w:val="zh-CN"/>
        </w:rPr>
        <w:t>认为，本项目绩效年度总目标已圆满完成。</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（三）项目自评步骤及方法。</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说明项目绩效自评采用的组织实施步骤及方法。本项目评价工作由</w:t>
      </w:r>
      <w:r>
        <w:rPr>
          <w:rFonts w:hint="eastAsia" w:ascii="仿宋_GB2312" w:hAnsi="宋体"/>
          <w:szCs w:val="32"/>
          <w:highlight w:val="none"/>
        </w:rPr>
        <w:t>区纪委</w:t>
      </w:r>
      <w:r>
        <w:rPr>
          <w:rFonts w:hint="eastAsia" w:ascii="仿宋_GB2312" w:hAnsi="宋体"/>
          <w:szCs w:val="32"/>
          <w:highlight w:val="none"/>
          <w:lang w:val="zh-CN"/>
        </w:rPr>
        <w:t>通过相关数据核实、查阅归纳资料，并结合评价指标，对项目整体实施情况、实施结果、项目资金支出等情况进行评价。评价指标体系按照年度部门预算项目绩效目标进行，内容包括数量指标、时效指标、满意度指标。评价方法依据评价指标体系，项目预期目标实现程度，评价本年度绩效目标完成情况。</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二、项目资金申报及使用情况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（一）项目资金申报及批复情况。</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rPr>
        <w:t>本项目财政收入为55.25万元，支出为55.25万元。</w:t>
      </w:r>
    </w:p>
    <w:p>
      <w:pPr>
        <w:adjustRightInd w:val="0"/>
        <w:snapToGrid w:val="0"/>
        <w:spacing w:line="600" w:lineRule="exact"/>
        <w:ind w:firstLine="720"/>
        <w:rPr>
          <w:rFonts w:ascii="仿宋_GB2312" w:hAnsi="宋体"/>
          <w:szCs w:val="32"/>
          <w:highlight w:val="none"/>
          <w:lang w:val="zh-CN"/>
        </w:rPr>
      </w:pPr>
      <w:r>
        <w:rPr>
          <w:rFonts w:hint="eastAsia" w:ascii="楷体_GB2312" w:hAnsi="宋体" w:eastAsia="楷体_GB2312"/>
          <w:b/>
          <w:szCs w:val="32"/>
          <w:highlight w:val="none"/>
          <w:lang w:val="zh-CN"/>
        </w:rPr>
        <w:t>（二）资金计划、到位及使用情况（可用表格形式反映）。</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1</w:t>
      </w:r>
      <w:r>
        <w:rPr>
          <w:rFonts w:hint="eastAsia" w:ascii="楷体_GB2312" w:hAnsi="宋体" w:eastAsia="楷体_GB2312"/>
          <w:szCs w:val="32"/>
          <w:highlight w:val="none"/>
          <w:lang w:val="zh-CN"/>
        </w:rPr>
        <w:t>．资金计划。</w:t>
      </w:r>
      <w:r>
        <w:rPr>
          <w:rFonts w:hint="eastAsia" w:ascii="仿宋_GB2312" w:hAnsi="宋体"/>
          <w:szCs w:val="32"/>
          <w:highlight w:val="none"/>
        </w:rPr>
        <w:t>该项目资金均为本级财政资金，不含自筹资金、其他渠道资金。</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2</w:t>
      </w:r>
      <w:r>
        <w:rPr>
          <w:rFonts w:hint="eastAsia" w:ascii="楷体_GB2312" w:hAnsi="宋体" w:eastAsia="楷体_GB2312"/>
          <w:szCs w:val="32"/>
          <w:highlight w:val="none"/>
          <w:lang w:val="zh-CN"/>
        </w:rPr>
        <w:t>．资金到位。</w:t>
      </w:r>
      <w:r>
        <w:rPr>
          <w:rFonts w:hint="eastAsia" w:ascii="仿宋_GB2312" w:hAnsi="宋体"/>
          <w:szCs w:val="32"/>
          <w:highlight w:val="none"/>
        </w:rPr>
        <w:t>本项目年初预算计划55.25万，实际资金到位55.25万。</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3</w:t>
      </w:r>
      <w:r>
        <w:rPr>
          <w:rFonts w:hint="eastAsia" w:ascii="楷体_GB2312" w:hAnsi="宋体" w:eastAsia="楷体_GB2312"/>
          <w:szCs w:val="32"/>
          <w:highlight w:val="none"/>
          <w:lang w:val="zh-CN"/>
        </w:rPr>
        <w:t>．资金使用。</w:t>
      </w:r>
      <w:r>
        <w:rPr>
          <w:rFonts w:hint="eastAsia" w:ascii="仿宋_GB2312" w:hAnsi="宋体"/>
          <w:szCs w:val="32"/>
          <w:highlight w:val="none"/>
        </w:rPr>
        <w:t>该项目执纪监督、留置专案中产生的住宿费、差旅费、办案人员补助、公车运行维护费共支出55.25万元。</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（三）项目财务管理情况。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本项目按照</w:t>
      </w:r>
      <w:r>
        <w:rPr>
          <w:rFonts w:hint="eastAsia" w:ascii="仿宋_GB2312" w:hAnsi="宋体"/>
          <w:szCs w:val="32"/>
          <w:highlight w:val="none"/>
        </w:rPr>
        <w:t>有关文件，实行据实报销，依据有关同志签批的报销单据</w:t>
      </w:r>
      <w:r>
        <w:rPr>
          <w:rFonts w:hint="eastAsia" w:ascii="仿宋_GB2312" w:hAnsi="宋体"/>
          <w:szCs w:val="32"/>
          <w:highlight w:val="none"/>
          <w:lang w:val="zh-CN"/>
        </w:rPr>
        <w:t>，依据</w:t>
      </w:r>
      <w:r>
        <w:rPr>
          <w:rFonts w:hint="eastAsia" w:ascii="仿宋_GB2312" w:hAnsi="宋体"/>
          <w:szCs w:val="32"/>
          <w:highlight w:val="none"/>
        </w:rPr>
        <w:t>具体</w:t>
      </w:r>
      <w:r>
        <w:rPr>
          <w:rFonts w:hint="eastAsia" w:ascii="仿宋_GB2312" w:hAnsi="宋体"/>
          <w:szCs w:val="32"/>
          <w:highlight w:val="none"/>
          <w:lang w:val="zh-CN"/>
        </w:rPr>
        <w:t>的</w:t>
      </w:r>
      <w:r>
        <w:rPr>
          <w:rFonts w:hint="eastAsia" w:ascii="仿宋_GB2312" w:hAnsi="宋体"/>
          <w:szCs w:val="32"/>
          <w:highlight w:val="none"/>
        </w:rPr>
        <w:t>办案需要</w:t>
      </w:r>
      <w:r>
        <w:rPr>
          <w:rFonts w:hint="eastAsia" w:ascii="仿宋_GB2312" w:hAnsi="宋体"/>
          <w:szCs w:val="32"/>
          <w:highlight w:val="none"/>
          <w:lang w:val="zh-CN"/>
        </w:rPr>
        <w:t>，进行资金支付管理。</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三、项目实施及管理情况</w:t>
      </w:r>
    </w:p>
    <w:p>
      <w:pPr>
        <w:spacing w:line="540" w:lineRule="exact"/>
        <w:ind w:firstLine="640" w:firstLineChars="200"/>
        <w:jc w:val="left"/>
        <w:rPr>
          <w:rFonts w:ascii="仿宋_GB2312" w:hAnsi="宋体"/>
          <w:szCs w:val="32"/>
          <w:highlight w:val="none"/>
        </w:rPr>
      </w:pPr>
      <w:r>
        <w:rPr>
          <w:rFonts w:hint="eastAsia" w:ascii="仿宋_GB2312" w:hAnsi="宋体"/>
          <w:szCs w:val="32"/>
          <w:highlight w:val="none"/>
        </w:rPr>
        <w:t>本项目按照《</w:t>
      </w:r>
      <w:r>
        <w:rPr>
          <w:highlight w:val="none"/>
        </w:rPr>
        <w:t>自财行〔201</w:t>
      </w:r>
      <w:r>
        <w:rPr>
          <w:rFonts w:hint="eastAsia"/>
          <w:highlight w:val="none"/>
        </w:rPr>
        <w:t>6</w:t>
      </w:r>
      <w:r>
        <w:rPr>
          <w:highlight w:val="none"/>
        </w:rPr>
        <w:t>〕</w:t>
      </w:r>
      <w:r>
        <w:rPr>
          <w:rFonts w:hint="eastAsia"/>
          <w:highlight w:val="none"/>
        </w:rPr>
        <w:t>52号</w:t>
      </w:r>
      <w:r>
        <w:rPr>
          <w:rFonts w:hint="eastAsia" w:ascii="仿宋_GB2312" w:hAnsi="宋体"/>
          <w:szCs w:val="32"/>
          <w:highlight w:val="none"/>
        </w:rPr>
        <w:t>》进行质量考核和管理，并根据考核结果支付有关留置案产生的费用。</w:t>
      </w:r>
    </w:p>
    <w:p>
      <w:pPr>
        <w:adjustRightInd w:val="0"/>
        <w:snapToGrid w:val="0"/>
        <w:spacing w:line="600" w:lineRule="exact"/>
        <w:ind w:firstLine="720"/>
        <w:rPr>
          <w:rFonts w:ascii="仿宋_GB2312" w:hAnsi="宋体"/>
          <w:szCs w:val="32"/>
          <w:highlight w:val="none"/>
          <w:lang w:val="zh-CN"/>
        </w:rPr>
      </w:pPr>
      <w:r>
        <w:rPr>
          <w:rFonts w:hint="eastAsia" w:ascii="黑体" w:hAnsi="宋体" w:eastAsia="黑体"/>
          <w:szCs w:val="32"/>
          <w:highlight w:val="none"/>
        </w:rPr>
        <w:t>四、项目绩效情况</w:t>
      </w:r>
      <w:r>
        <w:rPr>
          <w:rFonts w:ascii="仿宋_GB2312" w:hAnsi="宋体"/>
          <w:szCs w:val="32"/>
          <w:highlight w:val="none"/>
          <w:lang w:val="zh-CN"/>
        </w:rPr>
        <w:tab/>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（一）项目完成情况。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仿宋_GB2312" w:hAnsi="宋体"/>
          <w:szCs w:val="32"/>
          <w:highlight w:val="none"/>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（二）项目效益情况。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五、评价结论及建议</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（一）评价结论。</w:t>
      </w:r>
    </w:p>
    <w:p>
      <w:pPr>
        <w:adjustRightInd w:val="0"/>
        <w:snapToGrid w:val="0"/>
        <w:spacing w:line="600" w:lineRule="exact"/>
        <w:ind w:firstLine="640" w:firstLineChars="200"/>
        <w:jc w:val="center"/>
        <w:rPr>
          <w:highlight w:val="none"/>
          <w:lang w:val="zh-CN"/>
        </w:rPr>
      </w:pPr>
    </w:p>
    <w:p>
      <w:pPr>
        <w:pStyle w:val="2"/>
        <w:ind w:left="2560"/>
        <w:rPr>
          <w:highlight w:val="none"/>
          <w:lang w:val="zh-CN"/>
        </w:rPr>
      </w:pPr>
    </w:p>
    <w:p>
      <w:pPr>
        <w:rPr>
          <w:highlight w:val="none"/>
          <w:lang w:val="zh-CN"/>
        </w:rPr>
      </w:pPr>
    </w:p>
    <w:p>
      <w:pPr>
        <w:pStyle w:val="2"/>
        <w:ind w:left="2560"/>
        <w:rPr>
          <w:highlight w:val="none"/>
          <w:lang w:val="zh-CN"/>
        </w:rPr>
      </w:pPr>
    </w:p>
    <w:p>
      <w:pPr>
        <w:adjustRightInd w:val="0"/>
        <w:snapToGrid w:val="0"/>
        <w:spacing w:line="600" w:lineRule="exact"/>
        <w:ind w:firstLine="640" w:firstLineChars="200"/>
        <w:jc w:val="center"/>
        <w:rPr>
          <w:highlight w:val="none"/>
          <w:lang w:val="zh-CN"/>
        </w:rPr>
      </w:pPr>
      <w:r>
        <w:rPr>
          <w:rFonts w:hint="eastAsia"/>
          <w:highlight w:val="none"/>
          <w:lang w:val="zh-CN"/>
        </w:rPr>
        <w:t>“</w:t>
      </w:r>
      <w:r>
        <w:rPr>
          <w:rFonts w:hint="eastAsia"/>
          <w:highlight w:val="none"/>
        </w:rPr>
        <w:t>纪检审查经费</w:t>
      </w:r>
      <w:r>
        <w:rPr>
          <w:rFonts w:hint="eastAsia"/>
          <w:highlight w:val="none"/>
          <w:lang w:val="zh-CN"/>
        </w:rPr>
        <w:t>”部门预算项目绩效自评表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0"/>
        <w:gridCol w:w="2236"/>
        <w:gridCol w:w="1419"/>
        <w:gridCol w:w="1759"/>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155" w:type="dxa"/>
            <w:gridSpan w:val="3"/>
          </w:tcPr>
          <w:p>
            <w:pPr>
              <w:pStyle w:val="2"/>
              <w:ind w:left="0" w:leftChars="0"/>
              <w:rPr>
                <w:sz w:val="22"/>
                <w:szCs w:val="20"/>
                <w:highlight w:val="none"/>
                <w:lang w:val="zh-CN"/>
              </w:rPr>
            </w:pPr>
            <w:r>
              <w:rPr>
                <w:rFonts w:hint="eastAsia"/>
                <w:sz w:val="22"/>
                <w:szCs w:val="20"/>
                <w:highlight w:val="none"/>
                <w:lang w:val="zh-CN"/>
              </w:rPr>
              <w:t>绩效指标</w:t>
            </w:r>
          </w:p>
          <w:p>
            <w:pPr>
              <w:pStyle w:val="2"/>
              <w:ind w:left="0" w:leftChars="0"/>
              <w:rPr>
                <w:sz w:val="22"/>
                <w:szCs w:val="20"/>
                <w:highlight w:val="none"/>
                <w:lang w:val="zh-CN"/>
              </w:rPr>
            </w:pPr>
          </w:p>
        </w:tc>
        <w:tc>
          <w:tcPr>
            <w:tcW w:w="1759" w:type="dxa"/>
            <w:vMerge w:val="restart"/>
          </w:tcPr>
          <w:p>
            <w:pPr>
              <w:pStyle w:val="2"/>
              <w:ind w:left="0" w:leftChars="0"/>
              <w:rPr>
                <w:sz w:val="22"/>
                <w:szCs w:val="20"/>
                <w:highlight w:val="none"/>
                <w:lang w:val="zh-CN"/>
              </w:rPr>
            </w:pPr>
            <w:r>
              <w:rPr>
                <w:rFonts w:hint="eastAsia"/>
                <w:sz w:val="22"/>
                <w:szCs w:val="20"/>
                <w:highlight w:val="none"/>
                <w:lang w:val="zh-CN"/>
              </w:rPr>
              <w:t>指标分值</w:t>
            </w:r>
          </w:p>
          <w:p>
            <w:pPr>
              <w:pStyle w:val="2"/>
              <w:ind w:left="0" w:leftChars="0"/>
              <w:rPr>
                <w:sz w:val="22"/>
                <w:szCs w:val="20"/>
                <w:highlight w:val="none"/>
              </w:rPr>
            </w:pPr>
          </w:p>
        </w:tc>
        <w:tc>
          <w:tcPr>
            <w:tcW w:w="1608" w:type="dxa"/>
            <w:vMerge w:val="restart"/>
          </w:tcPr>
          <w:p>
            <w:pPr>
              <w:pStyle w:val="2"/>
              <w:ind w:left="0" w:leftChars="0"/>
              <w:rPr>
                <w:sz w:val="22"/>
                <w:szCs w:val="20"/>
                <w:highlight w:val="none"/>
                <w:lang w:val="zh-CN"/>
              </w:rPr>
            </w:pPr>
            <w:r>
              <w:rPr>
                <w:rFonts w:hint="eastAsia"/>
                <w:sz w:val="22"/>
                <w:szCs w:val="20"/>
                <w:highlight w:val="none"/>
                <w:lang w:val="zh-CN"/>
              </w:rPr>
              <w:t>自评</w:t>
            </w:r>
            <w:r>
              <w:rPr>
                <w:rFonts w:hint="eastAsia"/>
                <w:sz w:val="22"/>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 xml:space="preserve">一级指标 </w:t>
            </w:r>
          </w:p>
        </w:tc>
        <w:tc>
          <w:tcPr>
            <w:tcW w:w="2236" w:type="dxa"/>
          </w:tcPr>
          <w:p>
            <w:pPr>
              <w:pStyle w:val="2"/>
              <w:ind w:left="0" w:leftChars="0"/>
              <w:rPr>
                <w:sz w:val="22"/>
                <w:szCs w:val="20"/>
                <w:highlight w:val="none"/>
                <w:lang w:val="zh-CN"/>
              </w:rPr>
            </w:pPr>
            <w:r>
              <w:rPr>
                <w:rFonts w:hint="eastAsia"/>
                <w:sz w:val="22"/>
                <w:szCs w:val="20"/>
                <w:highlight w:val="none"/>
                <w:lang w:val="zh-CN"/>
              </w:rPr>
              <w:t xml:space="preserve">二级指标 </w:t>
            </w:r>
          </w:p>
        </w:tc>
        <w:tc>
          <w:tcPr>
            <w:tcW w:w="1419" w:type="dxa"/>
          </w:tcPr>
          <w:p>
            <w:pPr>
              <w:pStyle w:val="2"/>
              <w:ind w:left="0" w:leftChars="0"/>
              <w:rPr>
                <w:sz w:val="22"/>
                <w:szCs w:val="20"/>
                <w:highlight w:val="none"/>
                <w:lang w:val="zh-CN"/>
              </w:rPr>
            </w:pPr>
            <w:r>
              <w:rPr>
                <w:rFonts w:hint="eastAsia"/>
                <w:sz w:val="22"/>
                <w:szCs w:val="20"/>
                <w:highlight w:val="none"/>
                <w:lang w:val="zh-CN"/>
              </w:rPr>
              <w:t>三级指标</w:t>
            </w:r>
          </w:p>
        </w:tc>
        <w:tc>
          <w:tcPr>
            <w:tcW w:w="1759" w:type="dxa"/>
            <w:vMerge w:val="continue"/>
          </w:tcPr>
          <w:p>
            <w:pPr>
              <w:pStyle w:val="2"/>
              <w:ind w:left="0" w:leftChars="0"/>
              <w:rPr>
                <w:sz w:val="22"/>
                <w:szCs w:val="20"/>
                <w:highlight w:val="none"/>
              </w:rPr>
            </w:pPr>
          </w:p>
        </w:tc>
        <w:tc>
          <w:tcPr>
            <w:tcW w:w="1608" w:type="dxa"/>
            <w:vMerge w:val="continue"/>
          </w:tcPr>
          <w:p>
            <w:pPr>
              <w:pStyle w:val="2"/>
              <w:ind w:left="0" w:leftChars="0"/>
              <w:rPr>
                <w:sz w:val="22"/>
                <w:szCs w:val="20"/>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部门预算管理（70 分）</w:t>
            </w:r>
          </w:p>
          <w:p>
            <w:pPr>
              <w:pStyle w:val="2"/>
              <w:ind w:left="0" w:leftChars="0"/>
              <w:rPr>
                <w:sz w:val="22"/>
                <w:szCs w:val="20"/>
                <w:highlight w:val="none"/>
                <w:lang w:val="zh-CN"/>
              </w:rPr>
            </w:pPr>
          </w:p>
        </w:tc>
        <w:tc>
          <w:tcPr>
            <w:tcW w:w="2236" w:type="dxa"/>
            <w:vMerge w:val="restart"/>
          </w:tcPr>
          <w:p>
            <w:pPr>
              <w:pStyle w:val="2"/>
              <w:ind w:left="0" w:leftChars="0"/>
              <w:rPr>
                <w:sz w:val="22"/>
                <w:szCs w:val="20"/>
                <w:highlight w:val="none"/>
                <w:lang w:val="zh-CN"/>
              </w:rPr>
            </w:pPr>
            <w:r>
              <w:rPr>
                <w:rFonts w:hint="eastAsia"/>
                <w:sz w:val="22"/>
                <w:szCs w:val="20"/>
                <w:highlight w:val="none"/>
                <w:lang w:val="zh-CN"/>
              </w:rPr>
              <w:t>预算编制（30 分）</w:t>
            </w:r>
          </w:p>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目标制定</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目标实现</w:t>
            </w:r>
          </w:p>
        </w:tc>
        <w:tc>
          <w:tcPr>
            <w:tcW w:w="1759" w:type="dxa"/>
          </w:tcPr>
          <w:p>
            <w:pPr>
              <w:rPr>
                <w:sz w:val="22"/>
                <w:szCs w:val="20"/>
                <w:highlight w:val="none"/>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 xml:space="preserve">编制准确 </w:t>
            </w:r>
          </w:p>
        </w:tc>
        <w:tc>
          <w:tcPr>
            <w:tcW w:w="1759" w:type="dxa"/>
          </w:tcPr>
          <w:p>
            <w:pPr>
              <w:pStyle w:val="2"/>
              <w:ind w:left="0" w:leftChars="0"/>
              <w:rPr>
                <w:sz w:val="22"/>
                <w:szCs w:val="20"/>
                <w:highlight w:val="none"/>
              </w:rPr>
            </w:pPr>
            <w:r>
              <w:rPr>
                <w:rFonts w:hint="eastAsia"/>
                <w:sz w:val="22"/>
                <w:szCs w:val="20"/>
                <w:highlight w:val="none"/>
              </w:rPr>
              <w:t>10</w:t>
            </w:r>
          </w:p>
        </w:tc>
        <w:tc>
          <w:tcPr>
            <w:tcW w:w="1608" w:type="dxa"/>
          </w:tcPr>
          <w:p>
            <w:pPr>
              <w:pStyle w:val="2"/>
              <w:ind w:left="0" w:leftChars="0"/>
              <w:rPr>
                <w:sz w:val="22"/>
                <w:szCs w:val="20"/>
                <w:highlight w:val="none"/>
              </w:rPr>
            </w:pPr>
            <w:r>
              <w:rPr>
                <w:rFonts w:hint="eastAsia"/>
                <w:sz w:val="22"/>
                <w:szCs w:val="20"/>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预算执行（20 分）</w:t>
            </w:r>
          </w:p>
        </w:tc>
        <w:tc>
          <w:tcPr>
            <w:tcW w:w="1419" w:type="dxa"/>
          </w:tcPr>
          <w:p>
            <w:pPr>
              <w:pStyle w:val="2"/>
              <w:ind w:left="0" w:leftChars="0"/>
              <w:rPr>
                <w:sz w:val="22"/>
                <w:szCs w:val="20"/>
                <w:highlight w:val="none"/>
                <w:lang w:val="zh-CN"/>
              </w:rPr>
            </w:pPr>
            <w:r>
              <w:rPr>
                <w:rFonts w:hint="eastAsia"/>
                <w:sz w:val="22"/>
                <w:szCs w:val="20"/>
                <w:highlight w:val="none"/>
                <w:lang w:val="zh-CN"/>
              </w:rPr>
              <w:t>执行进度</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完成结果（20 分）</w:t>
            </w:r>
          </w:p>
        </w:tc>
        <w:tc>
          <w:tcPr>
            <w:tcW w:w="1419" w:type="dxa"/>
          </w:tcPr>
          <w:p>
            <w:pPr>
              <w:pStyle w:val="2"/>
              <w:ind w:left="0" w:leftChars="0"/>
              <w:rPr>
                <w:sz w:val="22"/>
                <w:szCs w:val="20"/>
                <w:highlight w:val="none"/>
                <w:lang w:val="zh-CN"/>
              </w:rPr>
            </w:pPr>
            <w:r>
              <w:rPr>
                <w:rFonts w:hint="eastAsia"/>
                <w:sz w:val="22"/>
                <w:szCs w:val="20"/>
                <w:highlight w:val="none"/>
                <w:lang w:val="zh-CN"/>
              </w:rPr>
              <w:t>预算完成</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绩效结果应用（20 分）</w:t>
            </w:r>
          </w:p>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信息公开（10 分)</w:t>
            </w:r>
          </w:p>
        </w:tc>
        <w:tc>
          <w:tcPr>
            <w:tcW w:w="1419" w:type="dxa"/>
          </w:tcPr>
          <w:p>
            <w:pPr>
              <w:pStyle w:val="2"/>
              <w:ind w:left="0" w:leftChars="0"/>
              <w:rPr>
                <w:sz w:val="22"/>
                <w:szCs w:val="20"/>
                <w:highlight w:val="none"/>
                <w:lang w:val="zh-CN"/>
              </w:rPr>
            </w:pPr>
            <w:r>
              <w:rPr>
                <w:rFonts w:hint="eastAsia"/>
                <w:sz w:val="22"/>
                <w:szCs w:val="20"/>
                <w:highlight w:val="none"/>
                <w:lang w:val="zh-CN"/>
              </w:rPr>
              <w:t>自评公开</w:t>
            </w:r>
          </w:p>
        </w:tc>
        <w:tc>
          <w:tcPr>
            <w:tcW w:w="1759" w:type="dxa"/>
          </w:tcPr>
          <w:p>
            <w:pPr>
              <w:pStyle w:val="2"/>
              <w:ind w:left="0" w:leftChars="0"/>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整改反馈（10 分）</w:t>
            </w:r>
          </w:p>
        </w:tc>
        <w:tc>
          <w:tcPr>
            <w:tcW w:w="1419" w:type="dxa"/>
          </w:tcPr>
          <w:p>
            <w:pPr>
              <w:pStyle w:val="2"/>
              <w:ind w:left="0" w:leftChars="0"/>
              <w:rPr>
                <w:sz w:val="22"/>
                <w:szCs w:val="20"/>
                <w:highlight w:val="none"/>
                <w:lang w:val="zh-CN"/>
              </w:rPr>
            </w:pPr>
            <w:r>
              <w:rPr>
                <w:rFonts w:hint="eastAsia"/>
                <w:sz w:val="22"/>
                <w:szCs w:val="20"/>
                <w:highlight w:val="none"/>
                <w:lang w:val="zh-CN"/>
              </w:rPr>
              <w:t>结果整改</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2236"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1419" w:type="dxa"/>
          </w:tcPr>
          <w:p>
            <w:pPr>
              <w:pStyle w:val="2"/>
              <w:ind w:left="0" w:leftChars="0"/>
              <w:rPr>
                <w:sz w:val="22"/>
                <w:szCs w:val="20"/>
                <w:highlight w:val="none"/>
                <w:lang w:val="zh-CN"/>
              </w:rPr>
            </w:pPr>
            <w:r>
              <w:rPr>
                <w:rFonts w:hint="eastAsia"/>
                <w:sz w:val="22"/>
                <w:szCs w:val="20"/>
                <w:highlight w:val="none"/>
                <w:lang w:val="zh-CN"/>
              </w:rPr>
              <w:t>自评准确</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4" w:type="dxa"/>
            <w:gridSpan w:val="4"/>
          </w:tcPr>
          <w:p>
            <w:pPr>
              <w:pStyle w:val="2"/>
              <w:ind w:left="0" w:leftChars="0"/>
              <w:jc w:val="center"/>
              <w:rPr>
                <w:sz w:val="22"/>
                <w:szCs w:val="20"/>
                <w:highlight w:val="none"/>
              </w:rPr>
            </w:pPr>
            <w:r>
              <w:rPr>
                <w:rFonts w:hint="eastAsia"/>
                <w:sz w:val="22"/>
                <w:szCs w:val="20"/>
                <w:highlight w:val="none"/>
              </w:rPr>
              <w:t>合计</w:t>
            </w:r>
          </w:p>
        </w:tc>
        <w:tc>
          <w:tcPr>
            <w:tcW w:w="1608" w:type="dxa"/>
          </w:tcPr>
          <w:p>
            <w:pPr>
              <w:pStyle w:val="2"/>
              <w:ind w:left="0" w:leftChars="0"/>
              <w:rPr>
                <w:sz w:val="22"/>
                <w:szCs w:val="20"/>
                <w:highlight w:val="none"/>
              </w:rPr>
            </w:pPr>
            <w:r>
              <w:rPr>
                <w:rFonts w:hint="eastAsia"/>
                <w:sz w:val="22"/>
                <w:szCs w:val="20"/>
                <w:highlight w:val="none"/>
              </w:rPr>
              <w:t>98</w:t>
            </w:r>
          </w:p>
        </w:tc>
      </w:tr>
    </w:tbl>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（二）存在的问题。</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rPr>
        <w:t>编制预算不够准确。该项目支出主要依据当年监督执纪问责、监督调查处置情况而定，只能预估概数，因此导致预算与实际执行情况有差异。</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（三）相关建议。</w:t>
      </w:r>
    </w:p>
    <w:p>
      <w:pPr>
        <w:spacing w:line="580"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eastAsia="zh-CN"/>
        </w:rPr>
        <w:t>加强预算编制</w:t>
      </w:r>
      <w:r>
        <w:rPr>
          <w:rFonts w:hint="eastAsia" w:ascii="仿宋_GB2312" w:hAnsi="仿宋_GB2312" w:cs="仿宋_GB2312"/>
          <w:szCs w:val="32"/>
          <w:highlight w:val="none"/>
        </w:rPr>
        <w:t>。</w:t>
      </w:r>
    </w:p>
    <w:p>
      <w:pPr>
        <w:widowControl/>
        <w:jc w:val="left"/>
        <w:rPr>
          <w:rStyle w:val="20"/>
          <w:rFonts w:ascii="黑体" w:hAnsi="黑体" w:eastAsia="黑体"/>
          <w:b w:val="0"/>
          <w:highlight w:val="none"/>
        </w:rPr>
      </w:pPr>
    </w:p>
    <w:p>
      <w:pPr>
        <w:widowControl/>
        <w:jc w:val="left"/>
        <w:rPr>
          <w:rStyle w:val="20"/>
          <w:rFonts w:ascii="黑体" w:hAnsi="黑体" w:eastAsia="黑体"/>
          <w:b w:val="0"/>
          <w:highlight w:val="none"/>
        </w:rPr>
      </w:pPr>
      <w:r>
        <w:rPr>
          <w:rStyle w:val="20"/>
          <w:rFonts w:ascii="黑体" w:hAnsi="黑体" w:eastAsia="黑体"/>
          <w:b w:val="0"/>
          <w:highlight w:val="none"/>
        </w:rPr>
        <w:br w:type="page"/>
      </w:r>
    </w:p>
    <w:p>
      <w:pPr>
        <w:spacing w:line="600" w:lineRule="exact"/>
        <w:jc w:val="center"/>
        <w:rPr>
          <w:rFonts w:ascii="方正小标宋简体" w:hAnsi="宋体" w:eastAsia="方正小标宋简体"/>
          <w:color w:val="000000"/>
          <w:kern w:val="0"/>
          <w:sz w:val="44"/>
          <w:szCs w:val="44"/>
          <w:highlight w:val="none"/>
          <w:lang w:val="zh-CN"/>
        </w:rPr>
      </w:pPr>
      <w:r>
        <w:rPr>
          <w:rFonts w:hint="eastAsia" w:ascii="方正小标宋简体" w:hAnsi="宋体" w:eastAsia="方正小标宋简体"/>
          <w:color w:val="000000"/>
          <w:kern w:val="0"/>
          <w:sz w:val="44"/>
          <w:szCs w:val="44"/>
          <w:highlight w:val="none"/>
          <w:lang w:val="zh-CN"/>
        </w:rPr>
        <w:t>党风廉政刊物征订费项目</w:t>
      </w:r>
    </w:p>
    <w:p>
      <w:pPr>
        <w:spacing w:line="600" w:lineRule="exact"/>
        <w:jc w:val="center"/>
        <w:rPr>
          <w:rFonts w:ascii="方正小标宋简体" w:hAnsi="宋体" w:eastAsia="方正小标宋简体"/>
          <w:color w:val="000000"/>
          <w:kern w:val="0"/>
          <w:sz w:val="44"/>
          <w:szCs w:val="44"/>
          <w:highlight w:val="none"/>
          <w:lang w:val="zh-CN"/>
        </w:rPr>
      </w:pPr>
      <w:r>
        <w:rPr>
          <w:rFonts w:ascii="方正小标宋简体" w:hAnsi="宋体" w:eastAsia="方正小标宋简体"/>
          <w:color w:val="000000"/>
          <w:kern w:val="0"/>
          <w:sz w:val="44"/>
          <w:szCs w:val="44"/>
          <w:highlight w:val="none"/>
        </w:rPr>
        <w:t>2020</w:t>
      </w:r>
      <w:r>
        <w:rPr>
          <w:rFonts w:hint="eastAsia" w:ascii="方正小标宋简体" w:hAnsi="宋体" w:eastAsia="方正小标宋简体"/>
          <w:color w:val="000000"/>
          <w:kern w:val="0"/>
          <w:sz w:val="44"/>
          <w:szCs w:val="44"/>
          <w:highlight w:val="none"/>
        </w:rPr>
        <w:t>年</w:t>
      </w:r>
      <w:r>
        <w:rPr>
          <w:rFonts w:hint="eastAsia" w:ascii="方正小标宋简体" w:hAnsi="宋体" w:eastAsia="方正小标宋简体"/>
          <w:color w:val="000000"/>
          <w:kern w:val="0"/>
          <w:sz w:val="44"/>
          <w:szCs w:val="44"/>
          <w:highlight w:val="none"/>
          <w:lang w:val="zh-CN"/>
        </w:rPr>
        <w:t>绩效评价报告</w:t>
      </w:r>
    </w:p>
    <w:p>
      <w:pPr>
        <w:spacing w:line="600" w:lineRule="exact"/>
        <w:rPr>
          <w:rFonts w:ascii="宋体"/>
          <w:szCs w:val="32"/>
          <w:highlight w:val="none"/>
          <w:lang w:val="zh-CN"/>
        </w:rPr>
      </w:pPr>
    </w:p>
    <w:p>
      <w:pPr>
        <w:adjustRightInd w:val="0"/>
        <w:snapToGrid w:val="0"/>
        <w:spacing w:line="600" w:lineRule="exact"/>
        <w:ind w:firstLine="720"/>
        <w:rPr>
          <w:rFonts w:ascii="黑体" w:hAnsi="宋体" w:eastAsia="黑体"/>
          <w:szCs w:val="32"/>
          <w:highlight w:val="none"/>
          <w:lang w:val="zh-CN"/>
        </w:rPr>
      </w:pPr>
      <w:r>
        <w:rPr>
          <w:rFonts w:hint="eastAsia" w:ascii="黑体" w:hAnsi="宋体" w:eastAsia="黑体"/>
          <w:szCs w:val="32"/>
          <w:highlight w:val="none"/>
        </w:rPr>
        <w:t>一、</w:t>
      </w:r>
      <w:r>
        <w:rPr>
          <w:rFonts w:hint="eastAsia" w:ascii="黑体" w:hAnsi="宋体" w:eastAsia="黑体"/>
          <w:szCs w:val="32"/>
          <w:highlight w:val="none"/>
          <w:lang w:val="zh-CN"/>
        </w:rPr>
        <w:t>项目概况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（一）项目基本情况。</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1</w:t>
      </w:r>
      <w:r>
        <w:rPr>
          <w:rFonts w:hint="eastAsia" w:ascii="仿宋_GB2312" w:hAnsi="宋体"/>
          <w:szCs w:val="32"/>
          <w:highlight w:val="none"/>
          <w:lang w:val="zh-CN"/>
        </w:rPr>
        <w:t>．项目管理的职能。</w:t>
      </w:r>
    </w:p>
    <w:p>
      <w:pPr>
        <w:pStyle w:val="2"/>
        <w:ind w:left="0" w:leftChars="0" w:firstLine="640" w:firstLineChars="200"/>
        <w:rPr>
          <w:highlight w:val="none"/>
        </w:rPr>
      </w:pPr>
      <w:r>
        <w:rPr>
          <w:rFonts w:hint="eastAsia"/>
          <w:highlight w:val="none"/>
        </w:rPr>
        <w:t>完成市下目标任务，推动全区全面从严治党、党风廉政建设和反腐败工作持续向纵深发展。</w:t>
      </w:r>
    </w:p>
    <w:p>
      <w:pPr>
        <w:adjustRightInd w:val="0"/>
        <w:snapToGrid w:val="0"/>
        <w:spacing w:line="600" w:lineRule="exact"/>
        <w:ind w:firstLine="640" w:firstLineChars="200"/>
        <w:rPr>
          <w:rFonts w:ascii="仿宋_GB2312" w:hAnsi="宋体"/>
          <w:szCs w:val="32"/>
          <w:highlight w:val="none"/>
          <w:lang w:val="zh-CN"/>
        </w:rPr>
      </w:pPr>
      <w:r>
        <w:rPr>
          <w:rFonts w:hint="eastAsia" w:ascii="仿宋_GB2312" w:hAnsi="宋体"/>
          <w:szCs w:val="32"/>
          <w:highlight w:val="none"/>
        </w:rPr>
        <w:t>2</w:t>
      </w:r>
      <w:r>
        <w:rPr>
          <w:rFonts w:hint="eastAsia" w:ascii="仿宋_GB2312" w:hAnsi="宋体"/>
          <w:szCs w:val="32"/>
          <w:highlight w:val="none"/>
          <w:lang w:val="zh-CN"/>
        </w:rPr>
        <w:t>．项目立项、资金申报的依据。</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rPr>
        <w:t>根据市下目标任务。</w:t>
      </w:r>
    </w:p>
    <w:p>
      <w:pPr>
        <w:adjustRightInd w:val="0"/>
        <w:snapToGrid w:val="0"/>
        <w:spacing w:line="600" w:lineRule="exact"/>
        <w:ind w:firstLine="640" w:firstLineChars="200"/>
        <w:rPr>
          <w:rFonts w:ascii="仿宋_GB2312" w:hAnsi="宋体"/>
          <w:szCs w:val="32"/>
          <w:highlight w:val="none"/>
          <w:lang w:val="zh-CN"/>
        </w:rPr>
      </w:pPr>
      <w:r>
        <w:rPr>
          <w:rFonts w:ascii="仿宋_GB2312" w:hAnsi="宋体"/>
          <w:szCs w:val="32"/>
          <w:highlight w:val="none"/>
          <w:lang w:val="zh-CN"/>
        </w:rPr>
        <w:t>3</w:t>
      </w:r>
      <w:r>
        <w:rPr>
          <w:rFonts w:hint="eastAsia" w:ascii="仿宋_GB2312" w:hAnsi="宋体"/>
          <w:szCs w:val="32"/>
          <w:highlight w:val="none"/>
          <w:lang w:val="zh-CN"/>
        </w:rPr>
        <w:t>．资金管理办法制定情况，资金支持具体项目的条件、范围与支持方式概况。</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rPr>
        <w:t>该项目主要用于党风廉政刊物、杂志、报纸征订工作。</w:t>
      </w:r>
    </w:p>
    <w:p>
      <w:pPr>
        <w:adjustRightInd w:val="0"/>
        <w:snapToGrid w:val="0"/>
        <w:spacing w:line="600" w:lineRule="exact"/>
        <w:ind w:firstLine="720"/>
        <w:rPr>
          <w:rFonts w:ascii="仿宋_GB2312" w:hAnsi="宋体"/>
          <w:szCs w:val="32"/>
          <w:highlight w:val="none"/>
        </w:rPr>
      </w:pPr>
      <w:r>
        <w:rPr>
          <w:rFonts w:ascii="仿宋_GB2312" w:hAnsi="宋体"/>
          <w:szCs w:val="32"/>
          <w:highlight w:val="none"/>
          <w:lang w:val="zh-CN"/>
        </w:rPr>
        <w:t>4</w:t>
      </w:r>
      <w:r>
        <w:rPr>
          <w:rFonts w:hint="eastAsia" w:ascii="仿宋_GB2312" w:hAnsi="宋体"/>
          <w:szCs w:val="32"/>
          <w:highlight w:val="none"/>
          <w:lang w:val="zh-CN"/>
        </w:rPr>
        <w:t>．资金分配的原则及考虑因素。</w:t>
      </w:r>
      <w:r>
        <w:rPr>
          <w:rFonts w:hint="eastAsia" w:ascii="仿宋_GB2312" w:hAnsi="宋体"/>
          <w:szCs w:val="32"/>
          <w:highlight w:val="none"/>
        </w:rPr>
        <w:t>据实报销。</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（二）项目绩效目标。</w:t>
      </w:r>
    </w:p>
    <w:p>
      <w:pPr>
        <w:adjustRightInd w:val="0"/>
        <w:snapToGrid w:val="0"/>
        <w:spacing w:line="600" w:lineRule="exact"/>
        <w:ind w:firstLine="720"/>
        <w:rPr>
          <w:rFonts w:ascii="仿宋_GB2312" w:hAnsi="宋体"/>
          <w:szCs w:val="32"/>
          <w:highlight w:val="none"/>
        </w:rPr>
      </w:pPr>
      <w:r>
        <w:rPr>
          <w:rFonts w:ascii="仿宋_GB2312" w:hAnsi="宋体"/>
          <w:szCs w:val="32"/>
          <w:highlight w:val="none"/>
          <w:lang w:val="zh-CN"/>
        </w:rPr>
        <w:t>1</w:t>
      </w:r>
      <w:r>
        <w:rPr>
          <w:rFonts w:hint="eastAsia" w:ascii="仿宋_GB2312" w:hAnsi="宋体"/>
          <w:szCs w:val="32"/>
          <w:highlight w:val="none"/>
          <w:lang w:val="zh-CN"/>
        </w:rPr>
        <w:t>．项目主要内容。</w:t>
      </w:r>
      <w:r>
        <w:rPr>
          <w:rFonts w:hint="eastAsia" w:ascii="仿宋_GB2312" w:hAnsi="宋体"/>
          <w:szCs w:val="32"/>
          <w:highlight w:val="none"/>
        </w:rPr>
        <w:t>订阅</w:t>
      </w:r>
      <w:r>
        <w:rPr>
          <w:rFonts w:hint="eastAsia" w:ascii="仿宋_GB2312" w:hAnsi="宋体"/>
          <w:szCs w:val="32"/>
          <w:highlight w:val="none"/>
          <w:lang w:val="zh-CN"/>
        </w:rPr>
        <w:t>《中国纪检监察报》、《中国纪检监察杂志》、《党风廉政建设》、《廉政瞭望》、《廉政教育系列参考片》</w:t>
      </w:r>
      <w:r>
        <w:rPr>
          <w:rFonts w:hint="eastAsia" w:ascii="仿宋_GB2312" w:hAnsi="宋体"/>
          <w:szCs w:val="32"/>
          <w:highlight w:val="none"/>
        </w:rPr>
        <w:t>等。</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2</w:t>
      </w:r>
      <w:r>
        <w:rPr>
          <w:rFonts w:hint="eastAsia" w:ascii="仿宋_GB2312" w:hAnsi="宋体"/>
          <w:szCs w:val="32"/>
          <w:highlight w:val="none"/>
          <w:lang w:val="zh-CN"/>
        </w:rPr>
        <w:t>．项目应实现的具体绩效目标，包括目标的量化、细化情况以及项目实施进度计划等。</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征订量不低于上年度，保障党风廉政刊物征订种类达十余类，全区覆盖</w:t>
      </w:r>
      <w:r>
        <w:rPr>
          <w:rFonts w:hint="eastAsia" w:ascii="仿宋_GB2312" w:hAnsi="宋体"/>
          <w:szCs w:val="32"/>
          <w:highlight w:val="none"/>
        </w:rPr>
        <w:t>所有单位</w:t>
      </w:r>
      <w:r>
        <w:rPr>
          <w:rFonts w:hint="eastAsia" w:ascii="仿宋_GB2312" w:hAnsi="宋体"/>
          <w:szCs w:val="32"/>
          <w:highlight w:val="none"/>
          <w:lang w:val="zh-CN"/>
        </w:rPr>
        <w:t>；数量指标征订报刊份数不低于1000份，</w:t>
      </w:r>
      <w:r>
        <w:rPr>
          <w:rFonts w:hint="eastAsia" w:ascii="仿宋_GB2312" w:hAnsi="宋体"/>
          <w:szCs w:val="32"/>
          <w:highlight w:val="none"/>
        </w:rPr>
        <w:t>实际征订数量为1100余</w:t>
      </w:r>
      <w:r>
        <w:rPr>
          <w:rFonts w:hint="eastAsia" w:ascii="仿宋_GB2312" w:hAnsi="宋体"/>
          <w:szCs w:val="32"/>
          <w:highlight w:val="none"/>
          <w:lang w:val="zh-CN"/>
        </w:rPr>
        <w:t>份；时效指标年底全面完成度，年底完成100%；满意度指标群众满意度大等于90%。</w:t>
      </w:r>
    </w:p>
    <w:p>
      <w:pPr>
        <w:adjustRightInd w:val="0"/>
        <w:snapToGrid w:val="0"/>
        <w:spacing w:line="600" w:lineRule="exact"/>
        <w:ind w:firstLine="640" w:firstLineChars="200"/>
        <w:rPr>
          <w:rFonts w:ascii="仿宋_GB2312" w:hAnsi="宋体"/>
          <w:szCs w:val="32"/>
          <w:highlight w:val="none"/>
          <w:lang w:val="zh-CN"/>
        </w:rPr>
      </w:pPr>
      <w:r>
        <w:rPr>
          <w:rFonts w:ascii="仿宋_GB2312" w:hAnsi="宋体"/>
          <w:szCs w:val="32"/>
          <w:highlight w:val="none"/>
          <w:lang w:val="zh-CN"/>
        </w:rPr>
        <w:t>3</w:t>
      </w:r>
      <w:r>
        <w:rPr>
          <w:rFonts w:hint="eastAsia" w:ascii="仿宋_GB2312" w:hAnsi="宋体"/>
          <w:szCs w:val="32"/>
          <w:highlight w:val="none"/>
          <w:lang w:val="zh-CN"/>
        </w:rPr>
        <w:t>．分析评价申报内容是否与实际相符，申报目标是否合理可行。根据自评情况和年度项目预期目标实现程度，</w:t>
      </w:r>
      <w:r>
        <w:rPr>
          <w:rFonts w:hint="eastAsia" w:ascii="仿宋_GB2312" w:hAnsi="宋体"/>
          <w:szCs w:val="32"/>
          <w:highlight w:val="none"/>
        </w:rPr>
        <w:t>本部门</w:t>
      </w:r>
      <w:r>
        <w:rPr>
          <w:rFonts w:hint="eastAsia" w:ascii="仿宋_GB2312" w:hAnsi="宋体"/>
          <w:szCs w:val="32"/>
          <w:highlight w:val="none"/>
          <w:lang w:val="zh-CN"/>
        </w:rPr>
        <w:t>认为，本项目绩效年度总目标已圆满完成。</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（三）项目自评步骤及方法。</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说明项目绩效自评采用的组织实施步骤及方法。本项目评价工作由</w:t>
      </w:r>
      <w:r>
        <w:rPr>
          <w:rFonts w:hint="eastAsia" w:ascii="仿宋_GB2312" w:hAnsi="宋体"/>
          <w:szCs w:val="32"/>
          <w:highlight w:val="none"/>
        </w:rPr>
        <w:t>区纪委</w:t>
      </w:r>
      <w:r>
        <w:rPr>
          <w:rFonts w:hint="eastAsia" w:ascii="仿宋_GB2312" w:hAnsi="宋体"/>
          <w:szCs w:val="32"/>
          <w:highlight w:val="none"/>
          <w:lang w:val="zh-CN"/>
        </w:rPr>
        <w:t>通过相关数据核实、查阅归纳资料，并结合评价指标，对项目整体实施情况、实施结果、项目资金支出等情况进行评价。评价指标体系按照年度部门预算项目绩效目标进行，内容包括数量指标、时效指标、成本指标、满意度指标。评价方法依据评价指标体系，项目预期目标实现程度，评价本年度绩效目标完成情况。</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二、项目资金申报及使用情况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（一）项目资金申报及批复情况。</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rPr>
        <w:t>本项目财政收入为25.5万元，支出为25.5万元。</w:t>
      </w:r>
    </w:p>
    <w:p>
      <w:pPr>
        <w:adjustRightInd w:val="0"/>
        <w:snapToGrid w:val="0"/>
        <w:spacing w:line="600" w:lineRule="exact"/>
        <w:ind w:firstLine="720"/>
        <w:rPr>
          <w:rFonts w:ascii="仿宋_GB2312" w:hAnsi="宋体"/>
          <w:szCs w:val="32"/>
          <w:highlight w:val="none"/>
          <w:lang w:val="zh-CN"/>
        </w:rPr>
      </w:pPr>
      <w:r>
        <w:rPr>
          <w:rFonts w:hint="eastAsia" w:ascii="楷体_GB2312" w:hAnsi="宋体" w:eastAsia="楷体_GB2312"/>
          <w:b/>
          <w:szCs w:val="32"/>
          <w:highlight w:val="none"/>
          <w:lang w:val="zh-CN"/>
        </w:rPr>
        <w:t>（二）资金计划、到位及使用情况（可用表格形式反映）。</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1</w:t>
      </w:r>
      <w:r>
        <w:rPr>
          <w:rFonts w:hint="eastAsia" w:ascii="楷体_GB2312" w:hAnsi="宋体" w:eastAsia="楷体_GB2312"/>
          <w:szCs w:val="32"/>
          <w:highlight w:val="none"/>
          <w:lang w:val="zh-CN"/>
        </w:rPr>
        <w:t>．资金计划。</w:t>
      </w:r>
      <w:r>
        <w:rPr>
          <w:rFonts w:hint="eastAsia" w:ascii="仿宋_GB2312" w:hAnsi="宋体"/>
          <w:szCs w:val="32"/>
          <w:highlight w:val="none"/>
        </w:rPr>
        <w:t>该项目资金均为本级财政资金，不含自筹资金、其他渠道资金。</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2</w:t>
      </w:r>
      <w:r>
        <w:rPr>
          <w:rFonts w:hint="eastAsia" w:ascii="楷体_GB2312" w:hAnsi="宋体" w:eastAsia="楷体_GB2312"/>
          <w:szCs w:val="32"/>
          <w:highlight w:val="none"/>
          <w:lang w:val="zh-CN"/>
        </w:rPr>
        <w:t>．资金到位。</w:t>
      </w:r>
      <w:r>
        <w:rPr>
          <w:rFonts w:hint="eastAsia" w:ascii="仿宋_GB2312" w:hAnsi="宋体"/>
          <w:szCs w:val="32"/>
          <w:highlight w:val="none"/>
        </w:rPr>
        <w:t>本项目年初预算计划25.5万，实际资金到位25.5万。</w:t>
      </w:r>
    </w:p>
    <w:p>
      <w:pPr>
        <w:adjustRightInd w:val="0"/>
        <w:snapToGrid w:val="0"/>
        <w:spacing w:line="600" w:lineRule="exact"/>
        <w:ind w:firstLine="720"/>
        <w:rPr>
          <w:rFonts w:ascii="楷体_GB2312" w:hAnsi="宋体" w:eastAsia="楷体_GB2312"/>
          <w:szCs w:val="32"/>
          <w:highlight w:val="none"/>
        </w:rPr>
      </w:pPr>
      <w:r>
        <w:rPr>
          <w:rFonts w:ascii="楷体_GB2312" w:hAnsi="宋体" w:eastAsia="楷体_GB2312"/>
          <w:szCs w:val="32"/>
          <w:highlight w:val="none"/>
          <w:lang w:val="zh-CN"/>
        </w:rPr>
        <w:t>3</w:t>
      </w:r>
      <w:r>
        <w:rPr>
          <w:rFonts w:hint="eastAsia" w:ascii="楷体_GB2312" w:hAnsi="宋体" w:eastAsia="楷体_GB2312"/>
          <w:szCs w:val="32"/>
          <w:highlight w:val="none"/>
          <w:lang w:val="zh-CN"/>
        </w:rPr>
        <w:t>．资金使用。</w:t>
      </w:r>
      <w:r>
        <w:rPr>
          <w:rFonts w:hint="eastAsia" w:ascii="仿宋_GB2312" w:hAnsi="宋体"/>
          <w:szCs w:val="32"/>
          <w:highlight w:val="none"/>
        </w:rPr>
        <w:t>该项目用于报刊杂志的征订费。</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（三）项目财务管理情况。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本项目按照相关合同和协议规定的费用支付条件，依据</w:t>
      </w:r>
      <w:r>
        <w:rPr>
          <w:rFonts w:hint="eastAsia" w:ascii="仿宋_GB2312" w:hAnsi="宋体"/>
          <w:szCs w:val="32"/>
          <w:highlight w:val="none"/>
        </w:rPr>
        <w:t>具体</w:t>
      </w:r>
      <w:r>
        <w:rPr>
          <w:rFonts w:hint="eastAsia" w:ascii="仿宋_GB2312" w:hAnsi="宋体"/>
          <w:szCs w:val="32"/>
          <w:highlight w:val="none"/>
          <w:lang w:val="zh-CN"/>
        </w:rPr>
        <w:t>的完成进度，以及项目履约验收报告等进行资金支付管理。</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三、项目实施及管理情况</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lang w:val="zh-CN"/>
        </w:rPr>
        <w:t>本项目按照</w:t>
      </w:r>
      <w:r>
        <w:rPr>
          <w:rFonts w:hint="eastAsia" w:ascii="仿宋_GB2312" w:hAnsi="宋体"/>
          <w:szCs w:val="32"/>
          <w:highlight w:val="none"/>
        </w:rPr>
        <w:t>有关文件，实行据实报销，依据有关同志签批的报销单据</w:t>
      </w:r>
      <w:r>
        <w:rPr>
          <w:rFonts w:hint="eastAsia" w:ascii="仿宋_GB2312" w:hAnsi="宋体"/>
          <w:szCs w:val="32"/>
          <w:highlight w:val="none"/>
          <w:lang w:val="zh-CN"/>
        </w:rPr>
        <w:t>，依据</w:t>
      </w:r>
      <w:r>
        <w:rPr>
          <w:rFonts w:hint="eastAsia" w:ascii="仿宋_GB2312" w:hAnsi="宋体"/>
          <w:szCs w:val="32"/>
          <w:highlight w:val="none"/>
        </w:rPr>
        <w:t>具体</w:t>
      </w:r>
      <w:r>
        <w:rPr>
          <w:rFonts w:hint="eastAsia" w:ascii="仿宋_GB2312" w:hAnsi="宋体"/>
          <w:szCs w:val="32"/>
          <w:highlight w:val="none"/>
          <w:lang w:val="zh-CN"/>
        </w:rPr>
        <w:t>的</w:t>
      </w:r>
      <w:r>
        <w:rPr>
          <w:rFonts w:hint="eastAsia" w:ascii="仿宋_GB2312" w:hAnsi="宋体"/>
          <w:szCs w:val="32"/>
          <w:highlight w:val="none"/>
        </w:rPr>
        <w:t>支付需要</w:t>
      </w:r>
      <w:r>
        <w:rPr>
          <w:rFonts w:hint="eastAsia" w:ascii="仿宋_GB2312" w:hAnsi="宋体"/>
          <w:szCs w:val="32"/>
          <w:highlight w:val="none"/>
          <w:lang w:val="zh-CN"/>
        </w:rPr>
        <w:t>，进行资金支付管理。</w:t>
      </w:r>
    </w:p>
    <w:p>
      <w:pPr>
        <w:adjustRightInd w:val="0"/>
        <w:snapToGrid w:val="0"/>
        <w:spacing w:line="600" w:lineRule="exact"/>
        <w:ind w:firstLine="720"/>
        <w:rPr>
          <w:rFonts w:ascii="仿宋_GB2312" w:hAnsi="宋体"/>
          <w:szCs w:val="32"/>
          <w:highlight w:val="none"/>
          <w:lang w:val="zh-CN"/>
        </w:rPr>
      </w:pPr>
      <w:r>
        <w:rPr>
          <w:rFonts w:hint="eastAsia" w:ascii="黑体" w:hAnsi="宋体" w:eastAsia="黑体"/>
          <w:szCs w:val="32"/>
          <w:highlight w:val="none"/>
        </w:rPr>
        <w:t>四、项目绩效情况</w:t>
      </w:r>
      <w:r>
        <w:rPr>
          <w:rFonts w:ascii="仿宋_GB2312" w:hAnsi="宋体"/>
          <w:szCs w:val="32"/>
          <w:highlight w:val="none"/>
          <w:lang w:val="zh-CN"/>
        </w:rPr>
        <w:tab/>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（一）项目完成情况。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仿宋_GB2312" w:hAnsi="宋体"/>
          <w:szCs w:val="32"/>
          <w:highlight w:val="none"/>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（二）项目效益情况。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五、评价结论及建议</w:t>
      </w:r>
    </w:p>
    <w:p>
      <w:pPr>
        <w:adjustRightInd w:val="0"/>
        <w:snapToGrid w:val="0"/>
        <w:spacing w:line="600" w:lineRule="exact"/>
        <w:ind w:firstLine="720"/>
        <w:rPr>
          <w:rFonts w:hint="eastAsia" w:ascii="楷体_GB2312" w:hAnsi="宋体" w:eastAsia="楷体_GB2312"/>
          <w:b/>
          <w:szCs w:val="32"/>
          <w:highlight w:val="none"/>
          <w:lang w:val="zh-CN"/>
        </w:rPr>
      </w:pPr>
      <w:r>
        <w:rPr>
          <w:rFonts w:hint="eastAsia" w:ascii="楷体_GB2312" w:hAnsi="宋体" w:eastAsia="楷体_GB2312"/>
          <w:b/>
          <w:szCs w:val="32"/>
          <w:highlight w:val="none"/>
          <w:lang w:val="zh-CN"/>
        </w:rPr>
        <w:t>（一）评价结论。</w:t>
      </w:r>
    </w:p>
    <w:p>
      <w:pPr>
        <w:pStyle w:val="2"/>
        <w:rPr>
          <w:lang w:val="zh-CN"/>
        </w:rPr>
      </w:pPr>
    </w:p>
    <w:p>
      <w:pPr>
        <w:adjustRightInd w:val="0"/>
        <w:snapToGrid w:val="0"/>
        <w:spacing w:line="600" w:lineRule="exact"/>
        <w:ind w:firstLine="640" w:firstLineChars="200"/>
        <w:jc w:val="center"/>
        <w:rPr>
          <w:highlight w:val="none"/>
          <w:lang w:val="zh-CN"/>
        </w:rPr>
      </w:pPr>
      <w:r>
        <w:rPr>
          <w:rFonts w:hint="eastAsia"/>
          <w:highlight w:val="none"/>
          <w:lang w:val="zh-CN"/>
        </w:rPr>
        <w:t>“党风廉政刊物征订费”部门预算项目绩效自评表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0"/>
        <w:gridCol w:w="2236"/>
        <w:gridCol w:w="1419"/>
        <w:gridCol w:w="1759"/>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155" w:type="dxa"/>
            <w:gridSpan w:val="3"/>
          </w:tcPr>
          <w:p>
            <w:pPr>
              <w:pStyle w:val="2"/>
              <w:ind w:left="0" w:leftChars="0"/>
              <w:rPr>
                <w:sz w:val="22"/>
                <w:szCs w:val="20"/>
                <w:highlight w:val="none"/>
                <w:lang w:val="zh-CN"/>
              </w:rPr>
            </w:pPr>
            <w:r>
              <w:rPr>
                <w:rFonts w:hint="eastAsia"/>
                <w:sz w:val="22"/>
                <w:szCs w:val="20"/>
                <w:highlight w:val="none"/>
                <w:lang w:val="zh-CN"/>
              </w:rPr>
              <w:t>绩效指标</w:t>
            </w:r>
          </w:p>
          <w:p>
            <w:pPr>
              <w:pStyle w:val="2"/>
              <w:ind w:left="0" w:leftChars="0"/>
              <w:rPr>
                <w:sz w:val="22"/>
                <w:szCs w:val="20"/>
                <w:highlight w:val="none"/>
                <w:lang w:val="zh-CN"/>
              </w:rPr>
            </w:pPr>
          </w:p>
        </w:tc>
        <w:tc>
          <w:tcPr>
            <w:tcW w:w="1759" w:type="dxa"/>
            <w:vMerge w:val="restart"/>
          </w:tcPr>
          <w:p>
            <w:pPr>
              <w:pStyle w:val="2"/>
              <w:ind w:left="0" w:leftChars="0"/>
              <w:rPr>
                <w:sz w:val="22"/>
                <w:szCs w:val="20"/>
                <w:highlight w:val="none"/>
                <w:lang w:val="zh-CN"/>
              </w:rPr>
            </w:pPr>
            <w:r>
              <w:rPr>
                <w:rFonts w:hint="eastAsia"/>
                <w:sz w:val="22"/>
                <w:szCs w:val="20"/>
                <w:highlight w:val="none"/>
                <w:lang w:val="zh-CN"/>
              </w:rPr>
              <w:t>指标分值</w:t>
            </w:r>
          </w:p>
          <w:p>
            <w:pPr>
              <w:pStyle w:val="2"/>
              <w:ind w:left="0" w:leftChars="0"/>
              <w:rPr>
                <w:sz w:val="22"/>
                <w:szCs w:val="20"/>
                <w:highlight w:val="none"/>
              </w:rPr>
            </w:pPr>
          </w:p>
        </w:tc>
        <w:tc>
          <w:tcPr>
            <w:tcW w:w="1608" w:type="dxa"/>
            <w:vMerge w:val="restart"/>
          </w:tcPr>
          <w:p>
            <w:pPr>
              <w:pStyle w:val="2"/>
              <w:ind w:left="0" w:leftChars="0"/>
              <w:rPr>
                <w:sz w:val="22"/>
                <w:szCs w:val="20"/>
                <w:highlight w:val="none"/>
                <w:lang w:val="zh-CN"/>
              </w:rPr>
            </w:pPr>
            <w:r>
              <w:rPr>
                <w:rFonts w:hint="eastAsia"/>
                <w:sz w:val="22"/>
                <w:szCs w:val="20"/>
                <w:highlight w:val="none"/>
                <w:lang w:val="zh-CN"/>
              </w:rPr>
              <w:t>自评</w:t>
            </w:r>
            <w:r>
              <w:rPr>
                <w:rFonts w:hint="eastAsia"/>
                <w:sz w:val="22"/>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 xml:space="preserve">一级指标 </w:t>
            </w:r>
          </w:p>
        </w:tc>
        <w:tc>
          <w:tcPr>
            <w:tcW w:w="2236" w:type="dxa"/>
          </w:tcPr>
          <w:p>
            <w:pPr>
              <w:pStyle w:val="2"/>
              <w:ind w:left="0" w:leftChars="0"/>
              <w:rPr>
                <w:sz w:val="22"/>
                <w:szCs w:val="20"/>
                <w:highlight w:val="none"/>
                <w:lang w:val="zh-CN"/>
              </w:rPr>
            </w:pPr>
            <w:r>
              <w:rPr>
                <w:rFonts w:hint="eastAsia"/>
                <w:sz w:val="22"/>
                <w:szCs w:val="20"/>
                <w:highlight w:val="none"/>
                <w:lang w:val="zh-CN"/>
              </w:rPr>
              <w:t xml:space="preserve">二级指标 </w:t>
            </w:r>
          </w:p>
        </w:tc>
        <w:tc>
          <w:tcPr>
            <w:tcW w:w="1419" w:type="dxa"/>
          </w:tcPr>
          <w:p>
            <w:pPr>
              <w:pStyle w:val="2"/>
              <w:ind w:left="0" w:leftChars="0"/>
              <w:rPr>
                <w:sz w:val="22"/>
                <w:szCs w:val="20"/>
                <w:highlight w:val="none"/>
                <w:lang w:val="zh-CN"/>
              </w:rPr>
            </w:pPr>
            <w:r>
              <w:rPr>
                <w:rFonts w:hint="eastAsia"/>
                <w:sz w:val="22"/>
                <w:szCs w:val="20"/>
                <w:highlight w:val="none"/>
                <w:lang w:val="zh-CN"/>
              </w:rPr>
              <w:t>三级指标</w:t>
            </w:r>
          </w:p>
        </w:tc>
        <w:tc>
          <w:tcPr>
            <w:tcW w:w="1759" w:type="dxa"/>
            <w:vMerge w:val="continue"/>
          </w:tcPr>
          <w:p>
            <w:pPr>
              <w:pStyle w:val="2"/>
              <w:ind w:left="0" w:leftChars="0"/>
              <w:rPr>
                <w:sz w:val="22"/>
                <w:szCs w:val="20"/>
                <w:highlight w:val="none"/>
              </w:rPr>
            </w:pPr>
          </w:p>
        </w:tc>
        <w:tc>
          <w:tcPr>
            <w:tcW w:w="1608" w:type="dxa"/>
            <w:vMerge w:val="continue"/>
          </w:tcPr>
          <w:p>
            <w:pPr>
              <w:pStyle w:val="2"/>
              <w:ind w:left="0" w:leftChars="0"/>
              <w:rPr>
                <w:sz w:val="22"/>
                <w:szCs w:val="20"/>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部门预算管理（70 分）</w:t>
            </w:r>
          </w:p>
          <w:p>
            <w:pPr>
              <w:pStyle w:val="2"/>
              <w:ind w:left="0" w:leftChars="0"/>
              <w:rPr>
                <w:sz w:val="22"/>
                <w:szCs w:val="20"/>
                <w:highlight w:val="none"/>
                <w:lang w:val="zh-CN"/>
              </w:rPr>
            </w:pPr>
          </w:p>
        </w:tc>
        <w:tc>
          <w:tcPr>
            <w:tcW w:w="2236" w:type="dxa"/>
            <w:vMerge w:val="restart"/>
          </w:tcPr>
          <w:p>
            <w:pPr>
              <w:pStyle w:val="2"/>
              <w:ind w:left="0" w:leftChars="0"/>
              <w:rPr>
                <w:sz w:val="22"/>
                <w:szCs w:val="20"/>
                <w:highlight w:val="none"/>
                <w:lang w:val="zh-CN"/>
              </w:rPr>
            </w:pPr>
            <w:r>
              <w:rPr>
                <w:rFonts w:hint="eastAsia"/>
                <w:sz w:val="22"/>
                <w:szCs w:val="20"/>
                <w:highlight w:val="none"/>
                <w:lang w:val="zh-CN"/>
              </w:rPr>
              <w:t>预算编制（30 分）</w:t>
            </w:r>
          </w:p>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目标制定</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目标实现</w:t>
            </w:r>
          </w:p>
        </w:tc>
        <w:tc>
          <w:tcPr>
            <w:tcW w:w="1759" w:type="dxa"/>
          </w:tcPr>
          <w:p>
            <w:pPr>
              <w:rPr>
                <w:sz w:val="22"/>
                <w:szCs w:val="20"/>
                <w:highlight w:val="none"/>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 xml:space="preserve">编制准确 </w:t>
            </w:r>
          </w:p>
        </w:tc>
        <w:tc>
          <w:tcPr>
            <w:tcW w:w="1759" w:type="dxa"/>
          </w:tcPr>
          <w:p>
            <w:pPr>
              <w:pStyle w:val="2"/>
              <w:ind w:left="0" w:leftChars="0"/>
              <w:rPr>
                <w:sz w:val="22"/>
                <w:szCs w:val="20"/>
                <w:highlight w:val="none"/>
              </w:rPr>
            </w:pPr>
            <w:r>
              <w:rPr>
                <w:rFonts w:hint="eastAsia"/>
                <w:sz w:val="22"/>
                <w:szCs w:val="20"/>
                <w:highlight w:val="none"/>
              </w:rPr>
              <w:t>10</w:t>
            </w:r>
          </w:p>
        </w:tc>
        <w:tc>
          <w:tcPr>
            <w:tcW w:w="1608" w:type="dxa"/>
          </w:tcPr>
          <w:p>
            <w:pPr>
              <w:pStyle w:val="2"/>
              <w:ind w:left="0" w:leftChars="0"/>
              <w:rPr>
                <w:sz w:val="22"/>
                <w:szCs w:val="20"/>
                <w:highlight w:val="none"/>
              </w:rPr>
            </w:pPr>
            <w:r>
              <w:rPr>
                <w:rFonts w:hint="eastAsia"/>
                <w:sz w:val="22"/>
                <w:szCs w:val="20"/>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预算执行（20 分）</w:t>
            </w:r>
          </w:p>
        </w:tc>
        <w:tc>
          <w:tcPr>
            <w:tcW w:w="1419" w:type="dxa"/>
          </w:tcPr>
          <w:p>
            <w:pPr>
              <w:pStyle w:val="2"/>
              <w:ind w:left="0" w:leftChars="0"/>
              <w:rPr>
                <w:sz w:val="22"/>
                <w:szCs w:val="20"/>
                <w:highlight w:val="none"/>
                <w:lang w:val="zh-CN"/>
              </w:rPr>
            </w:pPr>
            <w:r>
              <w:rPr>
                <w:rFonts w:hint="eastAsia"/>
                <w:sz w:val="22"/>
                <w:szCs w:val="20"/>
                <w:highlight w:val="none"/>
                <w:lang w:val="zh-CN"/>
              </w:rPr>
              <w:t>执行进度</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完成结果（20 分）</w:t>
            </w:r>
          </w:p>
        </w:tc>
        <w:tc>
          <w:tcPr>
            <w:tcW w:w="1419" w:type="dxa"/>
          </w:tcPr>
          <w:p>
            <w:pPr>
              <w:pStyle w:val="2"/>
              <w:ind w:left="0" w:leftChars="0"/>
              <w:rPr>
                <w:sz w:val="22"/>
                <w:szCs w:val="20"/>
                <w:highlight w:val="none"/>
                <w:lang w:val="zh-CN"/>
              </w:rPr>
            </w:pPr>
            <w:r>
              <w:rPr>
                <w:rFonts w:hint="eastAsia"/>
                <w:sz w:val="22"/>
                <w:szCs w:val="20"/>
                <w:highlight w:val="none"/>
                <w:lang w:val="zh-CN"/>
              </w:rPr>
              <w:t>预算完成</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绩效结果应用（20 分）</w:t>
            </w:r>
          </w:p>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信息公开（10 分)</w:t>
            </w:r>
          </w:p>
        </w:tc>
        <w:tc>
          <w:tcPr>
            <w:tcW w:w="1419" w:type="dxa"/>
          </w:tcPr>
          <w:p>
            <w:pPr>
              <w:pStyle w:val="2"/>
              <w:ind w:left="0" w:leftChars="0"/>
              <w:rPr>
                <w:sz w:val="22"/>
                <w:szCs w:val="20"/>
                <w:highlight w:val="none"/>
                <w:lang w:val="zh-CN"/>
              </w:rPr>
            </w:pPr>
            <w:r>
              <w:rPr>
                <w:rFonts w:hint="eastAsia"/>
                <w:sz w:val="22"/>
                <w:szCs w:val="20"/>
                <w:highlight w:val="none"/>
                <w:lang w:val="zh-CN"/>
              </w:rPr>
              <w:t>自评公开</w:t>
            </w:r>
          </w:p>
        </w:tc>
        <w:tc>
          <w:tcPr>
            <w:tcW w:w="1759" w:type="dxa"/>
          </w:tcPr>
          <w:p>
            <w:pPr>
              <w:pStyle w:val="2"/>
              <w:ind w:left="0" w:leftChars="0"/>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整改反馈（10 分）</w:t>
            </w:r>
          </w:p>
        </w:tc>
        <w:tc>
          <w:tcPr>
            <w:tcW w:w="1419" w:type="dxa"/>
          </w:tcPr>
          <w:p>
            <w:pPr>
              <w:pStyle w:val="2"/>
              <w:ind w:left="0" w:leftChars="0"/>
              <w:rPr>
                <w:sz w:val="22"/>
                <w:szCs w:val="20"/>
                <w:highlight w:val="none"/>
                <w:lang w:val="zh-CN"/>
              </w:rPr>
            </w:pPr>
            <w:r>
              <w:rPr>
                <w:rFonts w:hint="eastAsia"/>
                <w:sz w:val="22"/>
                <w:szCs w:val="20"/>
                <w:highlight w:val="none"/>
                <w:lang w:val="zh-CN"/>
              </w:rPr>
              <w:t>结果整改</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2236"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1419" w:type="dxa"/>
          </w:tcPr>
          <w:p>
            <w:pPr>
              <w:pStyle w:val="2"/>
              <w:ind w:left="0" w:leftChars="0"/>
              <w:rPr>
                <w:sz w:val="22"/>
                <w:szCs w:val="20"/>
                <w:highlight w:val="none"/>
                <w:lang w:val="zh-CN"/>
              </w:rPr>
            </w:pPr>
            <w:r>
              <w:rPr>
                <w:rFonts w:hint="eastAsia"/>
                <w:sz w:val="22"/>
                <w:szCs w:val="20"/>
                <w:highlight w:val="none"/>
                <w:lang w:val="zh-CN"/>
              </w:rPr>
              <w:t>自评准确</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4" w:type="dxa"/>
            <w:gridSpan w:val="4"/>
          </w:tcPr>
          <w:p>
            <w:pPr>
              <w:pStyle w:val="2"/>
              <w:ind w:left="0" w:leftChars="0"/>
              <w:jc w:val="center"/>
              <w:rPr>
                <w:sz w:val="22"/>
                <w:szCs w:val="20"/>
                <w:highlight w:val="none"/>
              </w:rPr>
            </w:pPr>
            <w:r>
              <w:rPr>
                <w:rFonts w:hint="eastAsia"/>
                <w:sz w:val="22"/>
                <w:szCs w:val="20"/>
                <w:highlight w:val="none"/>
              </w:rPr>
              <w:t>合计</w:t>
            </w:r>
          </w:p>
        </w:tc>
        <w:tc>
          <w:tcPr>
            <w:tcW w:w="1608" w:type="dxa"/>
          </w:tcPr>
          <w:p>
            <w:pPr>
              <w:pStyle w:val="2"/>
              <w:ind w:left="0" w:leftChars="0"/>
              <w:rPr>
                <w:rFonts w:hint="eastAsia" w:eastAsia="仿宋_GB2312"/>
                <w:sz w:val="22"/>
                <w:szCs w:val="20"/>
                <w:highlight w:val="none"/>
                <w:lang w:val="en-US" w:eastAsia="zh-CN"/>
              </w:rPr>
            </w:pPr>
            <w:r>
              <w:rPr>
                <w:rFonts w:hint="eastAsia"/>
                <w:sz w:val="22"/>
                <w:szCs w:val="20"/>
                <w:highlight w:val="none"/>
              </w:rPr>
              <w:t>9</w:t>
            </w:r>
            <w:r>
              <w:rPr>
                <w:rFonts w:hint="eastAsia"/>
                <w:sz w:val="22"/>
                <w:szCs w:val="20"/>
                <w:highlight w:val="none"/>
                <w:lang w:val="en-US" w:eastAsia="zh-CN"/>
              </w:rPr>
              <w:t>8</w:t>
            </w:r>
          </w:p>
        </w:tc>
      </w:tr>
    </w:tbl>
    <w:p>
      <w:pPr>
        <w:adjustRightInd w:val="0"/>
        <w:snapToGrid w:val="0"/>
        <w:spacing w:line="600" w:lineRule="exact"/>
        <w:ind w:firstLine="720"/>
        <w:rPr>
          <w:rFonts w:ascii="仿宋_GB2312" w:hAnsi="宋体"/>
          <w:szCs w:val="32"/>
          <w:highlight w:val="none"/>
        </w:rPr>
      </w:pPr>
      <w:r>
        <w:rPr>
          <w:rFonts w:hint="eastAsia" w:ascii="楷体_GB2312" w:hAnsi="宋体" w:eastAsia="楷体_GB2312"/>
          <w:b/>
          <w:szCs w:val="32"/>
          <w:highlight w:val="none"/>
          <w:lang w:val="zh-CN"/>
        </w:rPr>
        <w:t>（二）存在的问题。</w:t>
      </w:r>
      <w:r>
        <w:rPr>
          <w:rFonts w:hint="eastAsia" w:ascii="仿宋_GB2312" w:hAnsi="宋体"/>
          <w:szCs w:val="32"/>
          <w:highlight w:val="none"/>
        </w:rPr>
        <w:t>编制预算不够准确。该项目支出主要</w:t>
      </w:r>
      <w:r>
        <w:rPr>
          <w:rFonts w:hint="eastAsia" w:ascii="仿宋_GB2312" w:hAnsi="宋体"/>
          <w:szCs w:val="32"/>
          <w:highlight w:val="none"/>
          <w:lang w:val="en-US" w:eastAsia="zh-CN"/>
        </w:rPr>
        <w:t>以每年报刊征订数</w:t>
      </w:r>
      <w:r>
        <w:rPr>
          <w:rFonts w:hint="eastAsia" w:ascii="仿宋_GB2312" w:hAnsi="宋体"/>
          <w:szCs w:val="32"/>
          <w:highlight w:val="none"/>
        </w:rPr>
        <w:t>而定，</w:t>
      </w:r>
      <w:r>
        <w:rPr>
          <w:rFonts w:hint="eastAsia" w:ascii="仿宋_GB2312" w:hAnsi="宋体"/>
          <w:szCs w:val="32"/>
          <w:highlight w:val="none"/>
          <w:lang w:val="en-US" w:eastAsia="zh-CN"/>
        </w:rPr>
        <w:t>同时每年征订报刊的单价逐年上涨，只能预估概数，因此</w:t>
      </w:r>
      <w:r>
        <w:rPr>
          <w:rFonts w:hint="eastAsia" w:ascii="仿宋_GB2312" w:hAnsi="宋体"/>
          <w:szCs w:val="32"/>
          <w:highlight w:val="none"/>
        </w:rPr>
        <w:t>导致预算</w:t>
      </w:r>
      <w:r>
        <w:rPr>
          <w:rFonts w:hint="eastAsia" w:ascii="仿宋_GB2312" w:hAnsi="宋体"/>
          <w:szCs w:val="32"/>
          <w:highlight w:val="none"/>
          <w:lang w:val="en-US" w:eastAsia="zh-CN"/>
        </w:rPr>
        <w:t>略有不准</w:t>
      </w:r>
      <w:r>
        <w:rPr>
          <w:rFonts w:hint="eastAsia" w:ascii="仿宋_GB2312" w:hAnsi="宋体"/>
          <w:szCs w:val="32"/>
          <w:highlight w:val="none"/>
        </w:rPr>
        <w:t>。</w:t>
      </w:r>
    </w:p>
    <w:p>
      <w:pPr>
        <w:adjustRightInd w:val="0"/>
        <w:snapToGrid w:val="0"/>
        <w:spacing w:line="600" w:lineRule="exact"/>
        <w:ind w:firstLine="720"/>
        <w:rPr>
          <w:rFonts w:ascii="仿宋_GB2312" w:hAnsi="仿宋_GB2312" w:cs="仿宋_GB2312"/>
          <w:szCs w:val="32"/>
          <w:highlight w:val="none"/>
        </w:rPr>
      </w:pPr>
      <w:r>
        <w:rPr>
          <w:rFonts w:hint="eastAsia" w:ascii="楷体_GB2312" w:hAnsi="宋体" w:eastAsia="楷体_GB2312"/>
          <w:b/>
          <w:szCs w:val="32"/>
          <w:highlight w:val="none"/>
          <w:lang w:val="zh-CN"/>
        </w:rPr>
        <w:t>（三）相关建议。</w:t>
      </w:r>
      <w:r>
        <w:rPr>
          <w:rFonts w:hint="eastAsia" w:ascii="仿宋_GB2312" w:hAnsi="仿宋_GB2312" w:cs="仿宋_GB2312"/>
          <w:szCs w:val="32"/>
          <w:highlight w:val="none"/>
          <w:lang w:val="en-US" w:eastAsia="zh-CN"/>
        </w:rPr>
        <w:t>加强预算编制</w:t>
      </w:r>
      <w:r>
        <w:rPr>
          <w:rFonts w:hint="eastAsia" w:ascii="仿宋_GB2312" w:hAnsi="仿宋_GB2312" w:cs="仿宋_GB2312"/>
          <w:szCs w:val="32"/>
          <w:highlight w:val="none"/>
        </w:rPr>
        <w:t>。</w:t>
      </w:r>
    </w:p>
    <w:p>
      <w:pPr>
        <w:spacing w:line="580" w:lineRule="exact"/>
        <w:ind w:firstLine="640"/>
        <w:rPr>
          <w:rFonts w:ascii="仿宋_GB2312" w:hAnsi="仿宋_GB2312" w:cs="仿宋_GB2312"/>
          <w:szCs w:val="32"/>
          <w:highlight w:val="none"/>
        </w:rPr>
      </w:pPr>
    </w:p>
    <w:p>
      <w:pPr>
        <w:adjustRightInd w:val="0"/>
        <w:snapToGrid w:val="0"/>
        <w:spacing w:line="600" w:lineRule="exact"/>
        <w:ind w:firstLine="720"/>
        <w:rPr>
          <w:rFonts w:ascii="楷体_GB2312" w:hAnsi="宋体" w:eastAsia="楷体_GB2312"/>
          <w:b/>
          <w:szCs w:val="32"/>
          <w:highlight w:val="none"/>
          <w:lang w:val="zh-CN"/>
        </w:rPr>
      </w:pPr>
    </w:p>
    <w:p>
      <w:pPr>
        <w:spacing w:line="580" w:lineRule="exact"/>
        <w:ind w:firstLine="640"/>
        <w:rPr>
          <w:rFonts w:ascii="仿宋_GB2312" w:hAnsi="仿宋_GB2312" w:cs="仿宋_GB2312"/>
          <w:szCs w:val="32"/>
          <w:highlight w:val="none"/>
        </w:rPr>
      </w:pPr>
    </w:p>
    <w:p>
      <w:pPr>
        <w:widowControl/>
        <w:jc w:val="left"/>
        <w:rPr>
          <w:rStyle w:val="20"/>
          <w:rFonts w:ascii="黑体" w:hAnsi="黑体" w:eastAsia="黑体"/>
          <w:b w:val="0"/>
          <w:highlight w:val="none"/>
        </w:rPr>
      </w:pPr>
    </w:p>
    <w:p>
      <w:pPr>
        <w:widowControl/>
        <w:jc w:val="left"/>
        <w:rPr>
          <w:rStyle w:val="20"/>
          <w:rFonts w:ascii="黑体" w:hAnsi="黑体" w:eastAsia="黑体"/>
          <w:b w:val="0"/>
          <w:highlight w:val="none"/>
        </w:rPr>
      </w:pPr>
      <w:r>
        <w:rPr>
          <w:rStyle w:val="20"/>
          <w:rFonts w:ascii="黑体" w:hAnsi="黑体" w:eastAsia="黑体"/>
          <w:b w:val="0"/>
          <w:highlight w:val="none"/>
        </w:rPr>
        <w:br w:type="page"/>
      </w:r>
    </w:p>
    <w:p>
      <w:pPr>
        <w:spacing w:line="600" w:lineRule="exact"/>
        <w:jc w:val="center"/>
        <w:rPr>
          <w:rFonts w:ascii="方正小标宋简体" w:hAnsi="宋体" w:eastAsia="方正小标宋简体"/>
          <w:color w:val="000000"/>
          <w:kern w:val="0"/>
          <w:sz w:val="44"/>
          <w:szCs w:val="44"/>
          <w:highlight w:val="none"/>
          <w:lang w:val="zh-CN"/>
        </w:rPr>
      </w:pPr>
      <w:r>
        <w:rPr>
          <w:rFonts w:hint="eastAsia" w:ascii="方正小标宋简体" w:hAnsi="宋体" w:eastAsia="方正小标宋简体"/>
          <w:color w:val="000000"/>
          <w:kern w:val="0"/>
          <w:sz w:val="44"/>
          <w:szCs w:val="44"/>
          <w:highlight w:val="none"/>
          <w:lang w:val="zh-CN"/>
        </w:rPr>
        <w:t>监察体制改革项目</w:t>
      </w:r>
    </w:p>
    <w:p>
      <w:pPr>
        <w:spacing w:line="600" w:lineRule="exact"/>
        <w:jc w:val="center"/>
        <w:rPr>
          <w:rFonts w:ascii="方正小标宋简体" w:hAnsi="宋体" w:eastAsia="方正小标宋简体"/>
          <w:color w:val="000000"/>
          <w:kern w:val="0"/>
          <w:sz w:val="44"/>
          <w:szCs w:val="44"/>
          <w:highlight w:val="none"/>
          <w:lang w:val="zh-CN"/>
        </w:rPr>
      </w:pPr>
      <w:r>
        <w:rPr>
          <w:rFonts w:ascii="方正小标宋简体" w:hAnsi="宋体" w:eastAsia="方正小标宋简体"/>
          <w:color w:val="000000"/>
          <w:kern w:val="0"/>
          <w:sz w:val="44"/>
          <w:szCs w:val="44"/>
          <w:highlight w:val="none"/>
        </w:rPr>
        <w:t>2020</w:t>
      </w:r>
      <w:r>
        <w:rPr>
          <w:rFonts w:hint="eastAsia" w:ascii="方正小标宋简体" w:hAnsi="宋体" w:eastAsia="方正小标宋简体"/>
          <w:color w:val="000000"/>
          <w:kern w:val="0"/>
          <w:sz w:val="44"/>
          <w:szCs w:val="44"/>
          <w:highlight w:val="none"/>
        </w:rPr>
        <w:t>年</w:t>
      </w:r>
      <w:r>
        <w:rPr>
          <w:rFonts w:hint="eastAsia" w:ascii="方正小标宋简体" w:hAnsi="宋体" w:eastAsia="方正小标宋简体"/>
          <w:color w:val="000000"/>
          <w:kern w:val="0"/>
          <w:sz w:val="44"/>
          <w:szCs w:val="44"/>
          <w:highlight w:val="none"/>
          <w:lang w:val="zh-CN"/>
        </w:rPr>
        <w:t>绩效评价报告</w:t>
      </w:r>
    </w:p>
    <w:p>
      <w:pPr>
        <w:spacing w:line="600" w:lineRule="exact"/>
        <w:rPr>
          <w:rFonts w:ascii="宋体"/>
          <w:szCs w:val="32"/>
          <w:highlight w:val="none"/>
          <w:lang w:val="zh-CN"/>
        </w:rPr>
      </w:pPr>
    </w:p>
    <w:p>
      <w:pPr>
        <w:adjustRightInd w:val="0"/>
        <w:snapToGrid w:val="0"/>
        <w:spacing w:line="600" w:lineRule="exact"/>
        <w:ind w:firstLine="720"/>
        <w:rPr>
          <w:rFonts w:ascii="黑体" w:hAnsi="宋体" w:eastAsia="黑体"/>
          <w:szCs w:val="32"/>
          <w:highlight w:val="none"/>
          <w:lang w:val="zh-CN"/>
        </w:rPr>
      </w:pPr>
      <w:r>
        <w:rPr>
          <w:rFonts w:hint="eastAsia" w:ascii="黑体" w:hAnsi="宋体" w:eastAsia="黑体"/>
          <w:szCs w:val="32"/>
          <w:highlight w:val="none"/>
        </w:rPr>
        <w:t>一、</w:t>
      </w:r>
      <w:r>
        <w:rPr>
          <w:rFonts w:hint="eastAsia" w:ascii="黑体" w:hAnsi="宋体" w:eastAsia="黑体"/>
          <w:szCs w:val="32"/>
          <w:highlight w:val="none"/>
          <w:lang w:val="zh-CN"/>
        </w:rPr>
        <w:t>项目概况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（一）项目基本情况。</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1</w:t>
      </w:r>
      <w:r>
        <w:rPr>
          <w:rFonts w:hint="eastAsia" w:ascii="仿宋_GB2312" w:hAnsi="宋体"/>
          <w:szCs w:val="32"/>
          <w:highlight w:val="none"/>
          <w:lang w:val="zh-CN"/>
        </w:rPr>
        <w:t>．项目管理的职能。</w:t>
      </w:r>
    </w:p>
    <w:p>
      <w:pPr>
        <w:pStyle w:val="2"/>
        <w:ind w:left="0" w:leftChars="0" w:firstLine="640" w:firstLineChars="200"/>
        <w:rPr>
          <w:highlight w:val="none"/>
        </w:rPr>
      </w:pPr>
      <w:r>
        <w:rPr>
          <w:rFonts w:hint="eastAsia"/>
          <w:highlight w:val="none"/>
        </w:rPr>
        <w:t>完成市下目标任务，持续深化纪检监察体制改革，推动新时代纪检监察工作高质量发展。</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rPr>
        <w:t>2</w:t>
      </w:r>
      <w:r>
        <w:rPr>
          <w:rFonts w:hint="eastAsia" w:ascii="仿宋_GB2312" w:hAnsi="宋体"/>
          <w:szCs w:val="32"/>
          <w:highlight w:val="none"/>
          <w:lang w:val="zh-CN"/>
        </w:rPr>
        <w:t>．项目立项、资金申报的依据。</w:t>
      </w:r>
      <w:r>
        <w:rPr>
          <w:rFonts w:hint="eastAsia" w:ascii="仿宋_GB2312" w:hAnsi="宋体"/>
          <w:szCs w:val="32"/>
          <w:highlight w:val="none"/>
        </w:rPr>
        <w:t>根据市下目标任务。</w:t>
      </w:r>
    </w:p>
    <w:p>
      <w:pPr>
        <w:adjustRightInd w:val="0"/>
        <w:snapToGrid w:val="0"/>
        <w:spacing w:line="600" w:lineRule="exact"/>
        <w:ind w:firstLine="640" w:firstLineChars="200"/>
        <w:rPr>
          <w:rFonts w:ascii="仿宋_GB2312" w:hAnsi="宋体"/>
          <w:szCs w:val="32"/>
          <w:highlight w:val="none"/>
        </w:rPr>
      </w:pPr>
      <w:r>
        <w:rPr>
          <w:rFonts w:ascii="仿宋_GB2312" w:hAnsi="宋体"/>
          <w:szCs w:val="32"/>
          <w:highlight w:val="none"/>
          <w:lang w:val="zh-CN"/>
        </w:rPr>
        <w:t>3</w:t>
      </w:r>
      <w:r>
        <w:rPr>
          <w:rFonts w:hint="eastAsia" w:ascii="仿宋_GB2312" w:hAnsi="宋体"/>
          <w:szCs w:val="32"/>
          <w:highlight w:val="none"/>
          <w:lang w:val="zh-CN"/>
        </w:rPr>
        <w:t>．资金管理办法制定情况，资金支持具体项目的条件、范围与支持方式概况。</w:t>
      </w:r>
      <w:r>
        <w:rPr>
          <w:rFonts w:hint="eastAsia" w:ascii="仿宋_GB2312" w:hAnsi="宋体"/>
          <w:szCs w:val="32"/>
          <w:highlight w:val="none"/>
        </w:rPr>
        <w:t>该项目主要用于监察体制改革相关工作的人员支出、与监察体制改革有关工作的设备采购、监察体制改革中的培训费用支出等。</w:t>
      </w:r>
    </w:p>
    <w:p>
      <w:pPr>
        <w:adjustRightInd w:val="0"/>
        <w:snapToGrid w:val="0"/>
        <w:spacing w:line="600" w:lineRule="exact"/>
        <w:ind w:firstLine="720"/>
        <w:rPr>
          <w:rFonts w:ascii="仿宋_GB2312" w:hAnsi="宋体"/>
          <w:szCs w:val="32"/>
          <w:highlight w:val="none"/>
        </w:rPr>
      </w:pPr>
      <w:r>
        <w:rPr>
          <w:rFonts w:ascii="仿宋_GB2312" w:hAnsi="宋体"/>
          <w:szCs w:val="32"/>
          <w:highlight w:val="none"/>
          <w:lang w:val="zh-CN"/>
        </w:rPr>
        <w:t>4</w:t>
      </w:r>
      <w:r>
        <w:rPr>
          <w:rFonts w:hint="eastAsia" w:ascii="仿宋_GB2312" w:hAnsi="宋体"/>
          <w:szCs w:val="32"/>
          <w:highlight w:val="none"/>
          <w:lang w:val="zh-CN"/>
        </w:rPr>
        <w:t>．资金分配的原则及考虑因素。</w:t>
      </w:r>
      <w:r>
        <w:rPr>
          <w:rFonts w:hint="eastAsia" w:ascii="仿宋_GB2312" w:hAnsi="宋体"/>
          <w:szCs w:val="32"/>
          <w:highlight w:val="none"/>
        </w:rPr>
        <w:t>据实报销。</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（二）项目绩效目标。</w:t>
      </w:r>
    </w:p>
    <w:p>
      <w:pPr>
        <w:adjustRightInd w:val="0"/>
        <w:snapToGrid w:val="0"/>
        <w:spacing w:line="600" w:lineRule="exact"/>
        <w:ind w:firstLine="720"/>
        <w:rPr>
          <w:rFonts w:ascii="仿宋_GB2312" w:hAnsi="仿宋_GB2312" w:cs="仿宋_GB2312"/>
          <w:szCs w:val="32"/>
          <w:highlight w:val="none"/>
        </w:rPr>
      </w:pPr>
      <w:r>
        <w:rPr>
          <w:rFonts w:ascii="仿宋_GB2312" w:hAnsi="宋体"/>
          <w:szCs w:val="32"/>
          <w:highlight w:val="none"/>
          <w:lang w:val="zh-CN"/>
        </w:rPr>
        <w:t>1</w:t>
      </w:r>
      <w:r>
        <w:rPr>
          <w:rFonts w:hint="eastAsia" w:ascii="仿宋_GB2312" w:hAnsi="宋体"/>
          <w:szCs w:val="32"/>
          <w:highlight w:val="none"/>
          <w:lang w:val="zh-CN"/>
        </w:rPr>
        <w:t>．项目主要内容。</w:t>
      </w:r>
      <w:r>
        <w:rPr>
          <w:bCs/>
          <w:szCs w:val="32"/>
          <w:highlight w:val="none"/>
        </w:rPr>
        <w:t>一体推进党的纪律检查体制改革、国家监察体制改革、纪检监察机构改革，强化镇（街）纪检监察组织标准化、规范化建设，完成派驻纪检监察机构编制划转和启用工作，持续优化纪检监察组织人员结构</w:t>
      </w:r>
      <w:r>
        <w:rPr>
          <w:rFonts w:hint="eastAsia" w:ascii="仿宋_GB2312" w:hAnsi="仿宋_GB2312" w:cs="仿宋_GB2312"/>
          <w:szCs w:val="32"/>
          <w:highlight w:val="none"/>
        </w:rPr>
        <w:t>。</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2</w:t>
      </w:r>
      <w:r>
        <w:rPr>
          <w:rFonts w:hint="eastAsia" w:ascii="仿宋_GB2312" w:hAnsi="宋体"/>
          <w:szCs w:val="32"/>
          <w:highlight w:val="none"/>
          <w:lang w:val="zh-CN"/>
        </w:rPr>
        <w:t>．项目应实现的具体绩效目标，包括目标的量化、细化情况以及项目实施进度计划等。</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lang w:val="zh-CN"/>
        </w:rPr>
        <w:t>项目完成指标，完成上级部署的监察体制改革进度，</w:t>
      </w:r>
      <w:r>
        <w:rPr>
          <w:rFonts w:hint="eastAsia" w:ascii="仿宋_GB2312" w:hAnsi="宋体"/>
          <w:szCs w:val="32"/>
          <w:highlight w:val="none"/>
        </w:rPr>
        <w:t>100%；</w:t>
      </w:r>
      <w:r>
        <w:rPr>
          <w:rFonts w:hint="eastAsia" w:ascii="仿宋_GB2312" w:hAnsi="宋体"/>
          <w:szCs w:val="32"/>
          <w:highlight w:val="none"/>
          <w:lang w:val="zh-CN"/>
        </w:rPr>
        <w:t>质量指标本年监察</w:t>
      </w:r>
      <w:r>
        <w:rPr>
          <w:rFonts w:hint="eastAsia" w:ascii="仿宋_GB2312" w:hAnsi="宋体"/>
          <w:szCs w:val="32"/>
          <w:highlight w:val="none"/>
        </w:rPr>
        <w:t>体</w:t>
      </w:r>
      <w:r>
        <w:rPr>
          <w:rFonts w:hint="eastAsia" w:ascii="仿宋_GB2312" w:hAnsi="宋体"/>
          <w:szCs w:val="32"/>
          <w:highlight w:val="none"/>
          <w:lang w:val="zh-CN"/>
        </w:rPr>
        <w:t>制改革任务完成度，年底</w:t>
      </w:r>
      <w:r>
        <w:rPr>
          <w:rFonts w:hint="eastAsia" w:ascii="仿宋_GB2312" w:hAnsi="宋体"/>
          <w:szCs w:val="32"/>
          <w:highlight w:val="none"/>
        </w:rPr>
        <w:t>100%完成；</w:t>
      </w:r>
      <w:r>
        <w:rPr>
          <w:rFonts w:hint="eastAsia" w:ascii="仿宋_GB2312" w:hAnsi="宋体"/>
          <w:szCs w:val="32"/>
          <w:highlight w:val="none"/>
          <w:lang w:val="zh-CN"/>
        </w:rPr>
        <w:t>满意度指标，群众满意度大等于90%，</w:t>
      </w:r>
      <w:r>
        <w:rPr>
          <w:rFonts w:hint="eastAsia" w:ascii="仿宋_GB2312" w:hAnsi="宋体"/>
          <w:szCs w:val="32"/>
          <w:highlight w:val="none"/>
        </w:rPr>
        <w:t>实际群众满意度达到90%。</w:t>
      </w:r>
    </w:p>
    <w:p>
      <w:pPr>
        <w:adjustRightInd w:val="0"/>
        <w:snapToGrid w:val="0"/>
        <w:spacing w:line="600" w:lineRule="exact"/>
        <w:ind w:firstLine="640" w:firstLineChars="200"/>
        <w:rPr>
          <w:rFonts w:ascii="仿宋_GB2312" w:hAnsi="宋体"/>
          <w:szCs w:val="32"/>
          <w:highlight w:val="none"/>
          <w:lang w:val="zh-CN"/>
        </w:rPr>
      </w:pPr>
      <w:r>
        <w:rPr>
          <w:rFonts w:ascii="仿宋_GB2312" w:hAnsi="宋体"/>
          <w:szCs w:val="32"/>
          <w:highlight w:val="none"/>
          <w:lang w:val="zh-CN"/>
        </w:rPr>
        <w:t>3</w:t>
      </w:r>
      <w:r>
        <w:rPr>
          <w:rFonts w:hint="eastAsia" w:ascii="仿宋_GB2312" w:hAnsi="宋体"/>
          <w:szCs w:val="32"/>
          <w:highlight w:val="none"/>
          <w:lang w:val="zh-CN"/>
        </w:rPr>
        <w:t>．根据自评情况和年度项目预期目标实现程度，</w:t>
      </w:r>
      <w:r>
        <w:rPr>
          <w:rFonts w:hint="eastAsia" w:ascii="仿宋_GB2312" w:hAnsi="宋体"/>
          <w:szCs w:val="32"/>
          <w:highlight w:val="none"/>
        </w:rPr>
        <w:t>本部门</w:t>
      </w:r>
      <w:r>
        <w:rPr>
          <w:rFonts w:hint="eastAsia" w:ascii="仿宋_GB2312" w:hAnsi="宋体"/>
          <w:szCs w:val="32"/>
          <w:highlight w:val="none"/>
          <w:lang w:val="zh-CN"/>
        </w:rPr>
        <w:t>认为，本项目绩效年度总目标已圆满完成。</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（三）项目自评步骤及方法。</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说明项目绩效自评采用的组织实施步骤及方法。本项目评价工作由</w:t>
      </w:r>
      <w:r>
        <w:rPr>
          <w:rFonts w:hint="eastAsia" w:ascii="仿宋_GB2312" w:hAnsi="宋体"/>
          <w:szCs w:val="32"/>
          <w:highlight w:val="none"/>
        </w:rPr>
        <w:t>区纪委</w:t>
      </w:r>
      <w:r>
        <w:rPr>
          <w:rFonts w:hint="eastAsia" w:ascii="仿宋_GB2312" w:hAnsi="宋体"/>
          <w:szCs w:val="32"/>
          <w:highlight w:val="none"/>
          <w:lang w:val="zh-CN"/>
        </w:rPr>
        <w:t>通过相关数据核实、查阅归纳资料，并结合评价指标，对项目整体实施情况、实施结果、项目资金支出等情况进行评价。评价指标体系按照年度部门预算项目绩效目标进行，内容包括数量指标、时效指标、成本指标、满意度指标。评价方法依据评价指标体系，项目预期目标实现程度，评价本年度绩效目标完成情况。</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二、项目资金申报及使用情况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（一）项目资金申报及批复情况。</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rPr>
        <w:t>本项目财政收入为10.12万元，支出为10.12万元。</w:t>
      </w:r>
    </w:p>
    <w:p>
      <w:pPr>
        <w:adjustRightInd w:val="0"/>
        <w:snapToGrid w:val="0"/>
        <w:spacing w:line="600" w:lineRule="exact"/>
        <w:ind w:firstLine="720"/>
        <w:rPr>
          <w:rFonts w:ascii="仿宋_GB2312" w:hAnsi="宋体"/>
          <w:szCs w:val="32"/>
          <w:highlight w:val="none"/>
          <w:lang w:val="zh-CN"/>
        </w:rPr>
      </w:pPr>
      <w:r>
        <w:rPr>
          <w:rFonts w:hint="eastAsia" w:ascii="楷体_GB2312" w:hAnsi="宋体" w:eastAsia="楷体_GB2312"/>
          <w:b/>
          <w:szCs w:val="32"/>
          <w:highlight w:val="none"/>
          <w:lang w:val="zh-CN"/>
        </w:rPr>
        <w:t>（二）资金计划、到位及使用情况（可用表格形式反映）。</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1</w:t>
      </w:r>
      <w:r>
        <w:rPr>
          <w:rFonts w:hint="eastAsia" w:ascii="楷体_GB2312" w:hAnsi="宋体" w:eastAsia="楷体_GB2312"/>
          <w:szCs w:val="32"/>
          <w:highlight w:val="none"/>
          <w:lang w:val="zh-CN"/>
        </w:rPr>
        <w:t>．资金计划。</w:t>
      </w:r>
      <w:r>
        <w:rPr>
          <w:rFonts w:hint="eastAsia" w:ascii="仿宋_GB2312" w:hAnsi="宋体"/>
          <w:szCs w:val="32"/>
          <w:highlight w:val="none"/>
        </w:rPr>
        <w:t>该项目资金均为本级财政资金，不含自筹资金、其他渠道资金。</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2</w:t>
      </w:r>
      <w:r>
        <w:rPr>
          <w:rFonts w:hint="eastAsia" w:ascii="楷体_GB2312" w:hAnsi="宋体" w:eastAsia="楷体_GB2312"/>
          <w:szCs w:val="32"/>
          <w:highlight w:val="none"/>
          <w:lang w:val="zh-CN"/>
        </w:rPr>
        <w:t>．资金到位。</w:t>
      </w:r>
      <w:r>
        <w:rPr>
          <w:rFonts w:hint="eastAsia" w:ascii="仿宋_GB2312" w:hAnsi="宋体"/>
          <w:szCs w:val="32"/>
          <w:highlight w:val="none"/>
        </w:rPr>
        <w:t>本项目年初预算计划34万，实际资金到位10.12万。</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3</w:t>
      </w:r>
      <w:r>
        <w:rPr>
          <w:rFonts w:hint="eastAsia" w:ascii="楷体_GB2312" w:hAnsi="宋体" w:eastAsia="楷体_GB2312"/>
          <w:szCs w:val="32"/>
          <w:highlight w:val="none"/>
          <w:lang w:val="zh-CN"/>
        </w:rPr>
        <w:t>．资金使用。</w:t>
      </w:r>
      <w:r>
        <w:rPr>
          <w:rFonts w:hint="eastAsia" w:ascii="仿宋_GB2312" w:hAnsi="宋体"/>
          <w:szCs w:val="32"/>
          <w:highlight w:val="none"/>
        </w:rPr>
        <w:t>该项目用于监察体制改革中涉及的采购、培训等。</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（三）项目财务管理情况。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本项目按照相关合同和协议规定的费用支付条件，依据</w:t>
      </w:r>
      <w:r>
        <w:rPr>
          <w:rFonts w:hint="eastAsia" w:ascii="仿宋_GB2312" w:hAnsi="宋体"/>
          <w:szCs w:val="32"/>
          <w:highlight w:val="none"/>
        </w:rPr>
        <w:t>具体</w:t>
      </w:r>
      <w:r>
        <w:rPr>
          <w:rFonts w:hint="eastAsia" w:ascii="仿宋_GB2312" w:hAnsi="宋体"/>
          <w:szCs w:val="32"/>
          <w:highlight w:val="none"/>
          <w:lang w:val="zh-CN"/>
        </w:rPr>
        <w:t>的完成进度，以及项目履约验收报告等进行资金支付管理。</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三、项目实施及管理情况</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lang w:val="zh-CN"/>
        </w:rPr>
        <w:t>本项目按照</w:t>
      </w:r>
      <w:r>
        <w:rPr>
          <w:rFonts w:hint="eastAsia" w:ascii="仿宋_GB2312" w:hAnsi="宋体"/>
          <w:szCs w:val="32"/>
          <w:highlight w:val="none"/>
        </w:rPr>
        <w:t>有关文件，实行据实报销，依据有关同志签批的报销单据</w:t>
      </w:r>
      <w:r>
        <w:rPr>
          <w:rFonts w:hint="eastAsia" w:ascii="仿宋_GB2312" w:hAnsi="宋体"/>
          <w:szCs w:val="32"/>
          <w:highlight w:val="none"/>
          <w:lang w:val="zh-CN"/>
        </w:rPr>
        <w:t>，依据</w:t>
      </w:r>
      <w:r>
        <w:rPr>
          <w:rFonts w:hint="eastAsia" w:ascii="仿宋_GB2312" w:hAnsi="宋体"/>
          <w:szCs w:val="32"/>
          <w:highlight w:val="none"/>
        </w:rPr>
        <w:t>具体</w:t>
      </w:r>
      <w:r>
        <w:rPr>
          <w:rFonts w:hint="eastAsia" w:ascii="仿宋_GB2312" w:hAnsi="宋体"/>
          <w:szCs w:val="32"/>
          <w:highlight w:val="none"/>
          <w:lang w:val="zh-CN"/>
        </w:rPr>
        <w:t>的</w:t>
      </w:r>
      <w:r>
        <w:rPr>
          <w:rFonts w:hint="eastAsia" w:ascii="仿宋_GB2312" w:hAnsi="宋体"/>
          <w:szCs w:val="32"/>
          <w:highlight w:val="none"/>
        </w:rPr>
        <w:t>支付需要</w:t>
      </w:r>
      <w:r>
        <w:rPr>
          <w:rFonts w:hint="eastAsia" w:ascii="仿宋_GB2312" w:hAnsi="宋体"/>
          <w:szCs w:val="32"/>
          <w:highlight w:val="none"/>
          <w:lang w:val="zh-CN"/>
        </w:rPr>
        <w:t>，进行资金支付管理。</w:t>
      </w:r>
    </w:p>
    <w:p>
      <w:pPr>
        <w:adjustRightInd w:val="0"/>
        <w:snapToGrid w:val="0"/>
        <w:spacing w:line="600" w:lineRule="exact"/>
        <w:ind w:firstLine="720"/>
        <w:rPr>
          <w:rFonts w:ascii="仿宋_GB2312" w:hAnsi="宋体"/>
          <w:szCs w:val="32"/>
          <w:highlight w:val="none"/>
          <w:lang w:val="zh-CN"/>
        </w:rPr>
      </w:pPr>
      <w:r>
        <w:rPr>
          <w:rFonts w:hint="eastAsia" w:ascii="黑体" w:hAnsi="宋体" w:eastAsia="黑体"/>
          <w:szCs w:val="32"/>
          <w:highlight w:val="none"/>
        </w:rPr>
        <w:t>四、项目绩效情况</w:t>
      </w:r>
      <w:r>
        <w:rPr>
          <w:rFonts w:ascii="仿宋_GB2312" w:hAnsi="宋体"/>
          <w:szCs w:val="32"/>
          <w:highlight w:val="none"/>
          <w:lang w:val="zh-CN"/>
        </w:rPr>
        <w:tab/>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（一）项目完成情况。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仿宋_GB2312" w:hAnsi="宋体"/>
          <w:szCs w:val="32"/>
          <w:highlight w:val="none"/>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（二）项目效益情况。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五、评价结论及建议</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（一）评价结论。</w:t>
      </w:r>
    </w:p>
    <w:p>
      <w:pPr>
        <w:adjustRightInd w:val="0"/>
        <w:snapToGrid w:val="0"/>
        <w:spacing w:line="600" w:lineRule="exact"/>
        <w:ind w:firstLine="640" w:firstLineChars="200"/>
        <w:jc w:val="center"/>
        <w:rPr>
          <w:highlight w:val="none"/>
          <w:lang w:val="zh-CN"/>
        </w:rPr>
      </w:pPr>
    </w:p>
    <w:p>
      <w:pPr>
        <w:adjustRightInd w:val="0"/>
        <w:snapToGrid w:val="0"/>
        <w:spacing w:line="600" w:lineRule="exact"/>
        <w:ind w:firstLine="640" w:firstLineChars="200"/>
        <w:jc w:val="center"/>
        <w:rPr>
          <w:highlight w:val="none"/>
          <w:lang w:val="zh-CN"/>
        </w:rPr>
      </w:pPr>
      <w:r>
        <w:rPr>
          <w:rFonts w:hint="eastAsia"/>
          <w:highlight w:val="none"/>
          <w:lang w:val="zh-CN"/>
        </w:rPr>
        <w:t>“监察体制改革”部门预算项目绩效自评表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0"/>
        <w:gridCol w:w="2236"/>
        <w:gridCol w:w="1419"/>
        <w:gridCol w:w="1759"/>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155" w:type="dxa"/>
            <w:gridSpan w:val="3"/>
          </w:tcPr>
          <w:p>
            <w:pPr>
              <w:pStyle w:val="2"/>
              <w:ind w:left="0" w:leftChars="0"/>
              <w:rPr>
                <w:sz w:val="22"/>
                <w:szCs w:val="20"/>
                <w:highlight w:val="none"/>
                <w:lang w:val="zh-CN"/>
              </w:rPr>
            </w:pPr>
            <w:r>
              <w:rPr>
                <w:rFonts w:hint="eastAsia"/>
                <w:sz w:val="22"/>
                <w:szCs w:val="20"/>
                <w:highlight w:val="none"/>
                <w:lang w:val="zh-CN"/>
              </w:rPr>
              <w:t>绩效指标</w:t>
            </w:r>
          </w:p>
          <w:p>
            <w:pPr>
              <w:pStyle w:val="2"/>
              <w:ind w:left="0" w:leftChars="0"/>
              <w:rPr>
                <w:sz w:val="22"/>
                <w:szCs w:val="20"/>
                <w:highlight w:val="none"/>
                <w:lang w:val="zh-CN"/>
              </w:rPr>
            </w:pPr>
          </w:p>
        </w:tc>
        <w:tc>
          <w:tcPr>
            <w:tcW w:w="1759" w:type="dxa"/>
            <w:vMerge w:val="restart"/>
          </w:tcPr>
          <w:p>
            <w:pPr>
              <w:pStyle w:val="2"/>
              <w:ind w:left="0" w:leftChars="0"/>
              <w:rPr>
                <w:sz w:val="22"/>
                <w:szCs w:val="20"/>
                <w:highlight w:val="none"/>
                <w:lang w:val="zh-CN"/>
              </w:rPr>
            </w:pPr>
            <w:r>
              <w:rPr>
                <w:rFonts w:hint="eastAsia"/>
                <w:sz w:val="22"/>
                <w:szCs w:val="20"/>
                <w:highlight w:val="none"/>
                <w:lang w:val="zh-CN"/>
              </w:rPr>
              <w:t>指标分值</w:t>
            </w:r>
          </w:p>
          <w:p>
            <w:pPr>
              <w:pStyle w:val="2"/>
              <w:ind w:left="0" w:leftChars="0"/>
              <w:rPr>
                <w:sz w:val="22"/>
                <w:szCs w:val="20"/>
                <w:highlight w:val="none"/>
              </w:rPr>
            </w:pPr>
          </w:p>
        </w:tc>
        <w:tc>
          <w:tcPr>
            <w:tcW w:w="1608" w:type="dxa"/>
            <w:vMerge w:val="restart"/>
          </w:tcPr>
          <w:p>
            <w:pPr>
              <w:pStyle w:val="2"/>
              <w:ind w:left="0" w:leftChars="0"/>
              <w:rPr>
                <w:sz w:val="22"/>
                <w:szCs w:val="20"/>
                <w:highlight w:val="none"/>
                <w:lang w:val="zh-CN"/>
              </w:rPr>
            </w:pPr>
            <w:r>
              <w:rPr>
                <w:rFonts w:hint="eastAsia"/>
                <w:sz w:val="22"/>
                <w:szCs w:val="20"/>
                <w:highlight w:val="none"/>
                <w:lang w:val="zh-CN"/>
              </w:rPr>
              <w:t>自评</w:t>
            </w:r>
            <w:r>
              <w:rPr>
                <w:rFonts w:hint="eastAsia"/>
                <w:sz w:val="22"/>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 xml:space="preserve">一级指标 </w:t>
            </w:r>
          </w:p>
        </w:tc>
        <w:tc>
          <w:tcPr>
            <w:tcW w:w="2236" w:type="dxa"/>
          </w:tcPr>
          <w:p>
            <w:pPr>
              <w:pStyle w:val="2"/>
              <w:ind w:left="0" w:leftChars="0"/>
              <w:rPr>
                <w:sz w:val="22"/>
                <w:szCs w:val="20"/>
                <w:highlight w:val="none"/>
                <w:lang w:val="zh-CN"/>
              </w:rPr>
            </w:pPr>
            <w:r>
              <w:rPr>
                <w:rFonts w:hint="eastAsia"/>
                <w:sz w:val="22"/>
                <w:szCs w:val="20"/>
                <w:highlight w:val="none"/>
                <w:lang w:val="zh-CN"/>
              </w:rPr>
              <w:t xml:space="preserve">二级指标 </w:t>
            </w:r>
          </w:p>
        </w:tc>
        <w:tc>
          <w:tcPr>
            <w:tcW w:w="1419" w:type="dxa"/>
          </w:tcPr>
          <w:p>
            <w:pPr>
              <w:pStyle w:val="2"/>
              <w:ind w:left="0" w:leftChars="0"/>
              <w:rPr>
                <w:sz w:val="22"/>
                <w:szCs w:val="20"/>
                <w:highlight w:val="none"/>
                <w:lang w:val="zh-CN"/>
              </w:rPr>
            </w:pPr>
            <w:r>
              <w:rPr>
                <w:rFonts w:hint="eastAsia"/>
                <w:sz w:val="22"/>
                <w:szCs w:val="20"/>
                <w:highlight w:val="none"/>
                <w:lang w:val="zh-CN"/>
              </w:rPr>
              <w:t>三级指标</w:t>
            </w:r>
          </w:p>
        </w:tc>
        <w:tc>
          <w:tcPr>
            <w:tcW w:w="1759" w:type="dxa"/>
            <w:vMerge w:val="continue"/>
          </w:tcPr>
          <w:p>
            <w:pPr>
              <w:pStyle w:val="2"/>
              <w:ind w:left="0" w:leftChars="0"/>
              <w:rPr>
                <w:sz w:val="22"/>
                <w:szCs w:val="20"/>
                <w:highlight w:val="none"/>
              </w:rPr>
            </w:pPr>
          </w:p>
        </w:tc>
        <w:tc>
          <w:tcPr>
            <w:tcW w:w="1608" w:type="dxa"/>
            <w:vMerge w:val="continue"/>
          </w:tcPr>
          <w:p>
            <w:pPr>
              <w:pStyle w:val="2"/>
              <w:ind w:left="0" w:leftChars="0"/>
              <w:rPr>
                <w:sz w:val="22"/>
                <w:szCs w:val="20"/>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部门预算管理（70 分）</w:t>
            </w:r>
          </w:p>
          <w:p>
            <w:pPr>
              <w:pStyle w:val="2"/>
              <w:ind w:left="0" w:leftChars="0"/>
              <w:rPr>
                <w:sz w:val="22"/>
                <w:szCs w:val="20"/>
                <w:highlight w:val="none"/>
                <w:lang w:val="zh-CN"/>
              </w:rPr>
            </w:pPr>
          </w:p>
        </w:tc>
        <w:tc>
          <w:tcPr>
            <w:tcW w:w="2236" w:type="dxa"/>
            <w:vMerge w:val="restart"/>
          </w:tcPr>
          <w:p>
            <w:pPr>
              <w:pStyle w:val="2"/>
              <w:ind w:left="0" w:leftChars="0"/>
              <w:rPr>
                <w:sz w:val="22"/>
                <w:szCs w:val="20"/>
                <w:highlight w:val="none"/>
                <w:lang w:val="zh-CN"/>
              </w:rPr>
            </w:pPr>
            <w:r>
              <w:rPr>
                <w:rFonts w:hint="eastAsia"/>
                <w:sz w:val="22"/>
                <w:szCs w:val="20"/>
                <w:highlight w:val="none"/>
                <w:lang w:val="zh-CN"/>
              </w:rPr>
              <w:t>预算编制（30 分）</w:t>
            </w:r>
          </w:p>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目标制定</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目标实现</w:t>
            </w:r>
          </w:p>
        </w:tc>
        <w:tc>
          <w:tcPr>
            <w:tcW w:w="1759" w:type="dxa"/>
          </w:tcPr>
          <w:p>
            <w:pPr>
              <w:rPr>
                <w:sz w:val="22"/>
                <w:szCs w:val="20"/>
                <w:highlight w:val="none"/>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 xml:space="preserve">编制准确 </w:t>
            </w:r>
          </w:p>
        </w:tc>
        <w:tc>
          <w:tcPr>
            <w:tcW w:w="1759" w:type="dxa"/>
          </w:tcPr>
          <w:p>
            <w:pPr>
              <w:pStyle w:val="2"/>
              <w:ind w:left="0" w:leftChars="0"/>
              <w:rPr>
                <w:sz w:val="22"/>
                <w:szCs w:val="20"/>
                <w:highlight w:val="none"/>
              </w:rPr>
            </w:pPr>
            <w:r>
              <w:rPr>
                <w:rFonts w:hint="eastAsia"/>
                <w:sz w:val="22"/>
                <w:szCs w:val="20"/>
                <w:highlight w:val="none"/>
              </w:rPr>
              <w:t>10</w:t>
            </w:r>
          </w:p>
        </w:tc>
        <w:tc>
          <w:tcPr>
            <w:tcW w:w="1608" w:type="dxa"/>
          </w:tcPr>
          <w:p>
            <w:pPr>
              <w:pStyle w:val="2"/>
              <w:ind w:left="0" w:leftChars="0"/>
              <w:rPr>
                <w:sz w:val="22"/>
                <w:szCs w:val="20"/>
                <w:highlight w:val="none"/>
              </w:rPr>
            </w:pPr>
            <w:r>
              <w:rPr>
                <w:rFonts w:hint="eastAsia"/>
                <w:sz w:val="22"/>
                <w:szCs w:val="20"/>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预算执行（20 分）</w:t>
            </w:r>
          </w:p>
        </w:tc>
        <w:tc>
          <w:tcPr>
            <w:tcW w:w="1419" w:type="dxa"/>
          </w:tcPr>
          <w:p>
            <w:pPr>
              <w:pStyle w:val="2"/>
              <w:ind w:left="0" w:leftChars="0"/>
              <w:rPr>
                <w:sz w:val="22"/>
                <w:szCs w:val="20"/>
                <w:highlight w:val="none"/>
                <w:lang w:val="zh-CN"/>
              </w:rPr>
            </w:pPr>
            <w:r>
              <w:rPr>
                <w:rFonts w:hint="eastAsia"/>
                <w:sz w:val="22"/>
                <w:szCs w:val="20"/>
                <w:highlight w:val="none"/>
                <w:lang w:val="zh-CN"/>
              </w:rPr>
              <w:t>执行进度</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完成结果（20 分）</w:t>
            </w:r>
          </w:p>
        </w:tc>
        <w:tc>
          <w:tcPr>
            <w:tcW w:w="1419" w:type="dxa"/>
          </w:tcPr>
          <w:p>
            <w:pPr>
              <w:pStyle w:val="2"/>
              <w:ind w:left="0" w:leftChars="0"/>
              <w:rPr>
                <w:sz w:val="22"/>
                <w:szCs w:val="20"/>
                <w:highlight w:val="none"/>
                <w:lang w:val="zh-CN"/>
              </w:rPr>
            </w:pPr>
            <w:r>
              <w:rPr>
                <w:rFonts w:hint="eastAsia"/>
                <w:sz w:val="22"/>
                <w:szCs w:val="20"/>
                <w:highlight w:val="none"/>
                <w:lang w:val="zh-CN"/>
              </w:rPr>
              <w:t>预算完成</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绩效结果应用（20 分）</w:t>
            </w:r>
          </w:p>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信息公开（10 分)</w:t>
            </w:r>
          </w:p>
        </w:tc>
        <w:tc>
          <w:tcPr>
            <w:tcW w:w="1419" w:type="dxa"/>
          </w:tcPr>
          <w:p>
            <w:pPr>
              <w:pStyle w:val="2"/>
              <w:ind w:left="0" w:leftChars="0"/>
              <w:rPr>
                <w:sz w:val="22"/>
                <w:szCs w:val="20"/>
                <w:highlight w:val="none"/>
                <w:lang w:val="zh-CN"/>
              </w:rPr>
            </w:pPr>
            <w:r>
              <w:rPr>
                <w:rFonts w:hint="eastAsia"/>
                <w:sz w:val="22"/>
                <w:szCs w:val="20"/>
                <w:highlight w:val="none"/>
                <w:lang w:val="zh-CN"/>
              </w:rPr>
              <w:t>自评公开</w:t>
            </w:r>
          </w:p>
        </w:tc>
        <w:tc>
          <w:tcPr>
            <w:tcW w:w="1759" w:type="dxa"/>
          </w:tcPr>
          <w:p>
            <w:pPr>
              <w:pStyle w:val="2"/>
              <w:ind w:left="0" w:leftChars="0"/>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整改反馈（10 分）</w:t>
            </w:r>
          </w:p>
        </w:tc>
        <w:tc>
          <w:tcPr>
            <w:tcW w:w="1419" w:type="dxa"/>
          </w:tcPr>
          <w:p>
            <w:pPr>
              <w:pStyle w:val="2"/>
              <w:ind w:left="0" w:leftChars="0"/>
              <w:rPr>
                <w:sz w:val="22"/>
                <w:szCs w:val="20"/>
                <w:highlight w:val="none"/>
                <w:lang w:val="zh-CN"/>
              </w:rPr>
            </w:pPr>
            <w:r>
              <w:rPr>
                <w:rFonts w:hint="eastAsia"/>
                <w:sz w:val="22"/>
                <w:szCs w:val="20"/>
                <w:highlight w:val="none"/>
                <w:lang w:val="zh-CN"/>
              </w:rPr>
              <w:t>结果整改</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2236"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1419" w:type="dxa"/>
          </w:tcPr>
          <w:p>
            <w:pPr>
              <w:pStyle w:val="2"/>
              <w:ind w:left="0" w:leftChars="0"/>
              <w:rPr>
                <w:sz w:val="22"/>
                <w:szCs w:val="20"/>
                <w:highlight w:val="none"/>
                <w:lang w:val="zh-CN"/>
              </w:rPr>
            </w:pPr>
            <w:r>
              <w:rPr>
                <w:rFonts w:hint="eastAsia"/>
                <w:sz w:val="22"/>
                <w:szCs w:val="20"/>
                <w:highlight w:val="none"/>
                <w:lang w:val="zh-CN"/>
              </w:rPr>
              <w:t>自评准确</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4" w:type="dxa"/>
            <w:gridSpan w:val="4"/>
          </w:tcPr>
          <w:p>
            <w:pPr>
              <w:pStyle w:val="2"/>
              <w:ind w:left="0" w:leftChars="0"/>
              <w:jc w:val="center"/>
              <w:rPr>
                <w:sz w:val="22"/>
                <w:szCs w:val="20"/>
                <w:highlight w:val="none"/>
              </w:rPr>
            </w:pPr>
            <w:r>
              <w:rPr>
                <w:rFonts w:hint="eastAsia"/>
                <w:sz w:val="22"/>
                <w:szCs w:val="20"/>
                <w:highlight w:val="none"/>
              </w:rPr>
              <w:t>合计</w:t>
            </w:r>
          </w:p>
        </w:tc>
        <w:tc>
          <w:tcPr>
            <w:tcW w:w="1608" w:type="dxa"/>
          </w:tcPr>
          <w:p>
            <w:pPr>
              <w:pStyle w:val="2"/>
              <w:ind w:left="0" w:leftChars="0"/>
              <w:rPr>
                <w:sz w:val="22"/>
                <w:szCs w:val="20"/>
                <w:highlight w:val="none"/>
              </w:rPr>
            </w:pPr>
            <w:r>
              <w:rPr>
                <w:rFonts w:hint="eastAsia"/>
                <w:sz w:val="22"/>
                <w:szCs w:val="20"/>
                <w:highlight w:val="none"/>
              </w:rPr>
              <w:t>94</w:t>
            </w:r>
          </w:p>
        </w:tc>
      </w:tr>
    </w:tbl>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（二）存在的问题。</w:t>
      </w:r>
    </w:p>
    <w:p>
      <w:pPr>
        <w:pStyle w:val="2"/>
        <w:ind w:left="0" w:leftChars="0" w:firstLine="640" w:firstLineChars="200"/>
        <w:rPr>
          <w:rFonts w:ascii="仿宋_GB2312" w:hAnsi="宋体"/>
          <w:szCs w:val="32"/>
          <w:highlight w:val="none"/>
        </w:rPr>
      </w:pPr>
      <w:r>
        <w:rPr>
          <w:rFonts w:hint="eastAsia" w:ascii="仿宋_GB2312" w:hAnsi="宋体"/>
          <w:szCs w:val="32"/>
          <w:highlight w:val="none"/>
        </w:rPr>
        <w:t>编制预算不够准确。本项目年初预算计划34万，因疫情原因和工作实际情况，未开展外出培训，实际资金支出10.12万。</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（三）相关建议。</w:t>
      </w:r>
    </w:p>
    <w:p>
      <w:pPr>
        <w:adjustRightInd w:val="0"/>
        <w:snapToGrid w:val="0"/>
        <w:spacing w:line="600" w:lineRule="exact"/>
        <w:ind w:firstLine="720"/>
        <w:rPr>
          <w:rFonts w:ascii="仿宋_GB2312" w:hAnsi="仿宋_GB2312" w:cs="仿宋_GB2312"/>
          <w:szCs w:val="32"/>
          <w:highlight w:val="none"/>
        </w:rPr>
      </w:pPr>
      <w:r>
        <w:rPr>
          <w:rFonts w:hint="eastAsia" w:ascii="仿宋_GB2312" w:hAnsi="宋体"/>
          <w:szCs w:val="32"/>
          <w:highlight w:val="none"/>
          <w:lang w:val="zh-CN" w:eastAsia="zh-CN"/>
        </w:rPr>
        <w:t>下一步将加强前期评估，</w:t>
      </w:r>
      <w:r>
        <w:rPr>
          <w:rFonts w:hint="eastAsia" w:ascii="仿宋_GB2312" w:hAnsi="宋体"/>
          <w:szCs w:val="32"/>
          <w:highlight w:val="none"/>
          <w:lang w:val="en-US" w:eastAsia="zh-CN"/>
        </w:rPr>
        <w:t>着眼监察体制改革工作</w:t>
      </w:r>
      <w:r>
        <w:rPr>
          <w:rFonts w:hint="eastAsia" w:ascii="仿宋_GB2312" w:hAnsi="宋体"/>
          <w:szCs w:val="32"/>
          <w:highlight w:val="none"/>
          <w:lang w:val="zh-CN" w:eastAsia="zh-CN"/>
        </w:rPr>
        <w:t>计划安排的前瞻性，加快项目预算执行进度。</w:t>
      </w: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both"/>
        <w:outlineLvl w:val="0"/>
        <w:rPr>
          <w:rFonts w:ascii="黑体" w:hAnsi="黑体" w:eastAsia="黑体"/>
          <w:color w:val="000000"/>
          <w:sz w:val="44"/>
          <w:szCs w:val="44"/>
          <w:highlight w:val="none"/>
        </w:rPr>
      </w:pPr>
    </w:p>
    <w:p>
      <w:pPr>
        <w:spacing w:line="600" w:lineRule="exact"/>
        <w:jc w:val="center"/>
        <w:rPr>
          <w:rFonts w:ascii="方正小标宋简体" w:hAnsi="宋体" w:eastAsia="方正小标宋简体"/>
          <w:color w:val="000000"/>
          <w:kern w:val="0"/>
          <w:sz w:val="44"/>
          <w:szCs w:val="44"/>
          <w:highlight w:val="none"/>
          <w:lang w:val="zh-CN"/>
        </w:rPr>
      </w:pPr>
      <w:r>
        <w:rPr>
          <w:rFonts w:hint="eastAsia" w:ascii="方正小标宋简体" w:hAnsi="宋体" w:eastAsia="方正小标宋简体"/>
          <w:color w:val="000000"/>
          <w:kern w:val="0"/>
          <w:sz w:val="44"/>
          <w:szCs w:val="44"/>
          <w:highlight w:val="none"/>
          <w:lang w:val="zh-CN"/>
        </w:rPr>
        <w:t>廉政教育宣传费项目</w:t>
      </w:r>
    </w:p>
    <w:p>
      <w:pPr>
        <w:spacing w:line="600" w:lineRule="exact"/>
        <w:jc w:val="center"/>
        <w:rPr>
          <w:rFonts w:ascii="方正小标宋简体" w:hAnsi="宋体" w:eastAsia="方正小标宋简体"/>
          <w:color w:val="000000"/>
          <w:kern w:val="0"/>
          <w:sz w:val="44"/>
          <w:szCs w:val="44"/>
          <w:highlight w:val="none"/>
          <w:lang w:val="zh-CN"/>
        </w:rPr>
      </w:pPr>
      <w:r>
        <w:rPr>
          <w:rFonts w:ascii="方正小标宋简体" w:hAnsi="宋体" w:eastAsia="方正小标宋简体"/>
          <w:color w:val="000000"/>
          <w:kern w:val="0"/>
          <w:sz w:val="44"/>
          <w:szCs w:val="44"/>
          <w:highlight w:val="none"/>
        </w:rPr>
        <w:t>2020</w:t>
      </w:r>
      <w:r>
        <w:rPr>
          <w:rFonts w:hint="eastAsia" w:ascii="方正小标宋简体" w:hAnsi="宋体" w:eastAsia="方正小标宋简体"/>
          <w:color w:val="000000"/>
          <w:kern w:val="0"/>
          <w:sz w:val="44"/>
          <w:szCs w:val="44"/>
          <w:highlight w:val="none"/>
        </w:rPr>
        <w:t>年</w:t>
      </w:r>
      <w:r>
        <w:rPr>
          <w:rFonts w:hint="eastAsia" w:ascii="方正小标宋简体" w:hAnsi="宋体" w:eastAsia="方正小标宋简体"/>
          <w:color w:val="000000"/>
          <w:kern w:val="0"/>
          <w:sz w:val="44"/>
          <w:szCs w:val="44"/>
          <w:highlight w:val="none"/>
          <w:lang w:val="zh-CN"/>
        </w:rPr>
        <w:t>绩效评价报告</w:t>
      </w:r>
    </w:p>
    <w:p>
      <w:pPr>
        <w:spacing w:line="600" w:lineRule="exact"/>
        <w:rPr>
          <w:rFonts w:ascii="宋体"/>
          <w:szCs w:val="32"/>
          <w:highlight w:val="none"/>
          <w:lang w:val="zh-CN"/>
        </w:rPr>
      </w:pPr>
    </w:p>
    <w:p>
      <w:pPr>
        <w:adjustRightInd w:val="0"/>
        <w:snapToGrid w:val="0"/>
        <w:spacing w:line="600" w:lineRule="exact"/>
        <w:ind w:firstLine="720"/>
        <w:rPr>
          <w:rFonts w:ascii="黑体" w:hAnsi="宋体" w:eastAsia="黑体"/>
          <w:szCs w:val="32"/>
          <w:highlight w:val="none"/>
          <w:lang w:val="zh-CN"/>
        </w:rPr>
      </w:pPr>
      <w:r>
        <w:rPr>
          <w:rFonts w:hint="eastAsia" w:ascii="黑体" w:hAnsi="宋体" w:eastAsia="黑体"/>
          <w:szCs w:val="32"/>
          <w:highlight w:val="none"/>
        </w:rPr>
        <w:t>一、</w:t>
      </w:r>
      <w:r>
        <w:rPr>
          <w:rFonts w:hint="eastAsia" w:ascii="黑体" w:hAnsi="宋体" w:eastAsia="黑体"/>
          <w:szCs w:val="32"/>
          <w:highlight w:val="none"/>
          <w:lang w:val="zh-CN"/>
        </w:rPr>
        <w:t>项目概况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（一）项目基本情况。</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1</w:t>
      </w:r>
      <w:r>
        <w:rPr>
          <w:rFonts w:hint="eastAsia" w:ascii="仿宋_GB2312" w:hAnsi="宋体"/>
          <w:szCs w:val="32"/>
          <w:highlight w:val="none"/>
          <w:lang w:val="zh-CN"/>
        </w:rPr>
        <w:t>．项目管理的职能。</w:t>
      </w:r>
    </w:p>
    <w:p>
      <w:pPr>
        <w:adjustRightInd w:val="0"/>
        <w:snapToGrid w:val="0"/>
        <w:spacing w:line="600" w:lineRule="exact"/>
        <w:ind w:firstLine="640" w:firstLineChars="200"/>
        <w:rPr>
          <w:rFonts w:ascii="仿宋_GB2312" w:hAnsi="宋体"/>
          <w:szCs w:val="32"/>
          <w:highlight w:val="none"/>
        </w:rPr>
      </w:pPr>
      <w:r>
        <w:rPr>
          <w:szCs w:val="32"/>
          <w:highlight w:val="none"/>
        </w:rPr>
        <w:t>组织协调全面从严治党、党风廉政建设和反腐败宣传教育工作。</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rPr>
        <w:t>2</w:t>
      </w:r>
      <w:r>
        <w:rPr>
          <w:rFonts w:hint="eastAsia" w:ascii="仿宋_GB2312" w:hAnsi="宋体"/>
          <w:szCs w:val="32"/>
          <w:highlight w:val="none"/>
          <w:lang w:val="zh-CN"/>
        </w:rPr>
        <w:t>．项目立项、资金申报的依据。</w:t>
      </w:r>
      <w:r>
        <w:rPr>
          <w:rFonts w:hint="eastAsia" w:ascii="仿宋_GB2312" w:hAnsi="宋体"/>
          <w:szCs w:val="32"/>
          <w:highlight w:val="none"/>
        </w:rPr>
        <w:t>根据区纪委全会工作要求开展廉政教育宣传。</w:t>
      </w:r>
    </w:p>
    <w:p>
      <w:pPr>
        <w:adjustRightInd w:val="0"/>
        <w:snapToGrid w:val="0"/>
        <w:spacing w:line="600" w:lineRule="exact"/>
        <w:ind w:firstLine="640" w:firstLineChars="200"/>
        <w:rPr>
          <w:rFonts w:ascii="仿宋_GB2312" w:hAnsi="宋体"/>
          <w:szCs w:val="32"/>
          <w:highlight w:val="none"/>
        </w:rPr>
      </w:pPr>
      <w:r>
        <w:rPr>
          <w:rFonts w:ascii="仿宋_GB2312" w:hAnsi="宋体"/>
          <w:szCs w:val="32"/>
          <w:highlight w:val="none"/>
          <w:lang w:val="zh-CN"/>
        </w:rPr>
        <w:t>3</w:t>
      </w:r>
      <w:r>
        <w:rPr>
          <w:rFonts w:hint="eastAsia" w:ascii="仿宋_GB2312" w:hAnsi="宋体"/>
          <w:szCs w:val="32"/>
          <w:highlight w:val="none"/>
          <w:lang w:val="zh-CN"/>
        </w:rPr>
        <w:t>．资金管理办法制定情况，资金支持具体项目的条件、范围与支持方式概况。</w:t>
      </w:r>
      <w:r>
        <w:rPr>
          <w:rFonts w:hint="eastAsia" w:ascii="仿宋_GB2312" w:hAnsi="宋体"/>
          <w:szCs w:val="32"/>
          <w:highlight w:val="none"/>
        </w:rPr>
        <w:t>该项目主要用于廉政教育宣传相关工作的人员支出、培训费用支出等。</w:t>
      </w:r>
    </w:p>
    <w:p>
      <w:pPr>
        <w:adjustRightInd w:val="0"/>
        <w:snapToGrid w:val="0"/>
        <w:spacing w:line="600" w:lineRule="exact"/>
        <w:ind w:firstLine="720"/>
        <w:rPr>
          <w:rFonts w:ascii="仿宋_GB2312" w:hAnsi="宋体"/>
          <w:szCs w:val="32"/>
          <w:highlight w:val="none"/>
        </w:rPr>
      </w:pPr>
      <w:r>
        <w:rPr>
          <w:rFonts w:ascii="仿宋_GB2312" w:hAnsi="宋体"/>
          <w:szCs w:val="32"/>
          <w:highlight w:val="none"/>
          <w:lang w:val="zh-CN"/>
        </w:rPr>
        <w:t>4</w:t>
      </w:r>
      <w:r>
        <w:rPr>
          <w:rFonts w:hint="eastAsia" w:ascii="仿宋_GB2312" w:hAnsi="宋体"/>
          <w:szCs w:val="32"/>
          <w:highlight w:val="none"/>
          <w:lang w:val="zh-CN"/>
        </w:rPr>
        <w:t>．资金分配的原则及考虑因素。</w:t>
      </w:r>
      <w:r>
        <w:rPr>
          <w:rFonts w:hint="eastAsia" w:ascii="仿宋_GB2312" w:hAnsi="宋体"/>
          <w:szCs w:val="32"/>
          <w:highlight w:val="none"/>
        </w:rPr>
        <w:t>据实报销。</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（二）项目绩效目标。</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1</w:t>
      </w:r>
      <w:r>
        <w:rPr>
          <w:rFonts w:hint="eastAsia" w:ascii="仿宋_GB2312" w:hAnsi="宋体"/>
          <w:szCs w:val="32"/>
          <w:highlight w:val="none"/>
          <w:lang w:val="zh-CN"/>
        </w:rPr>
        <w:t>．项目主要内容。一是打造警示教育基地。根据纪检监察工作规范化建设要求，指导舒坪街道建成自流井区基层党员干部警示教育基地，并组织全区1800余名党员干部分批赴基地参观学习。二是组织开展学习警示。组织县级领导干部学习《忏悔录》，组织全区各单位科级以上领导干部观看警示教育片《越界》、主要负责人学习《自贡市警示教育读本》并征集读后感悟，组织全区村（社区）干部学习《自贡市村（社区）干部违纪违法典型案例读本》；拍摄警示教育片《反腐肃纪扬清风》，除在区纪委全会上播放外，组织全区党员干部观看并开展学习讨论；配合市纪委做好《盐都问政》（自流井区专场）拍摄制作工作。</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2</w:t>
      </w:r>
      <w:r>
        <w:rPr>
          <w:rFonts w:hint="eastAsia" w:ascii="仿宋_GB2312" w:hAnsi="宋体"/>
          <w:szCs w:val="32"/>
          <w:highlight w:val="none"/>
          <w:lang w:val="zh-CN"/>
        </w:rPr>
        <w:t>．项目应实现的具体绩效目标，包括目标的量化、细化情况以及项目实施进度计划等。</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lang w:val="zh-CN"/>
        </w:rPr>
        <w:t>总体指标常态开展党风廉政宣传和警示教育，一是打造警示教育基地。二是组织开展学习警示；数量指标，拍摄警示教育片大等于1，</w:t>
      </w:r>
      <w:r>
        <w:rPr>
          <w:rFonts w:hint="eastAsia" w:ascii="仿宋_GB2312" w:hAnsi="宋体"/>
          <w:szCs w:val="32"/>
          <w:highlight w:val="none"/>
        </w:rPr>
        <w:t>本年拍摄一部；</w:t>
      </w:r>
      <w:r>
        <w:rPr>
          <w:rFonts w:hint="eastAsia" w:ascii="仿宋_GB2312" w:hAnsi="宋体"/>
          <w:szCs w:val="32"/>
          <w:highlight w:val="none"/>
          <w:lang w:val="zh-CN"/>
        </w:rPr>
        <w:t>时效指标年底全面完成度</w:t>
      </w:r>
      <w:r>
        <w:rPr>
          <w:rFonts w:hint="eastAsia" w:ascii="仿宋_GB2312" w:hAnsi="宋体"/>
          <w:szCs w:val="32"/>
          <w:highlight w:val="none"/>
          <w:lang w:val="zh-CN"/>
        </w:rPr>
        <w:tab/>
      </w:r>
      <w:r>
        <w:rPr>
          <w:rFonts w:hint="eastAsia" w:ascii="仿宋_GB2312" w:hAnsi="宋体"/>
          <w:szCs w:val="32"/>
          <w:highlight w:val="none"/>
          <w:lang w:val="zh-CN"/>
        </w:rPr>
        <w:t>100%，</w:t>
      </w:r>
      <w:r>
        <w:rPr>
          <w:rFonts w:hint="eastAsia" w:ascii="仿宋_GB2312" w:hAnsi="宋体"/>
          <w:szCs w:val="32"/>
          <w:highlight w:val="none"/>
        </w:rPr>
        <w:t>年底全部完成</w:t>
      </w:r>
      <w:r>
        <w:rPr>
          <w:rFonts w:hint="eastAsia" w:ascii="仿宋_GB2312" w:hAnsi="宋体"/>
          <w:szCs w:val="32"/>
          <w:highlight w:val="none"/>
          <w:lang w:val="zh-CN"/>
        </w:rPr>
        <w:t>100%；满意度指标，</w:t>
      </w:r>
      <w:r>
        <w:rPr>
          <w:rFonts w:hint="eastAsia" w:ascii="仿宋_GB2312" w:hAnsi="宋体"/>
          <w:szCs w:val="32"/>
          <w:highlight w:val="none"/>
        </w:rPr>
        <w:t>群众满意度</w:t>
      </w:r>
      <w:r>
        <w:rPr>
          <w:rFonts w:hint="eastAsia" w:ascii="仿宋_GB2312" w:hAnsi="宋体"/>
          <w:szCs w:val="32"/>
          <w:highlight w:val="none"/>
          <w:lang w:val="zh-CN"/>
        </w:rPr>
        <w:t>大等于80%，</w:t>
      </w:r>
      <w:r>
        <w:rPr>
          <w:rFonts w:hint="eastAsia" w:ascii="仿宋_GB2312" w:hAnsi="宋体"/>
          <w:szCs w:val="32"/>
          <w:highlight w:val="none"/>
        </w:rPr>
        <w:t>满意度达到90%。</w:t>
      </w:r>
    </w:p>
    <w:p>
      <w:pPr>
        <w:adjustRightInd w:val="0"/>
        <w:snapToGrid w:val="0"/>
        <w:spacing w:line="600" w:lineRule="exact"/>
        <w:ind w:firstLine="640" w:firstLineChars="200"/>
        <w:rPr>
          <w:rFonts w:ascii="仿宋_GB2312" w:hAnsi="宋体"/>
          <w:szCs w:val="32"/>
          <w:highlight w:val="none"/>
          <w:lang w:val="zh-CN"/>
        </w:rPr>
      </w:pPr>
      <w:r>
        <w:rPr>
          <w:rFonts w:ascii="仿宋_GB2312" w:hAnsi="宋体"/>
          <w:szCs w:val="32"/>
          <w:highlight w:val="none"/>
          <w:lang w:val="zh-CN"/>
        </w:rPr>
        <w:t>3</w:t>
      </w:r>
      <w:r>
        <w:rPr>
          <w:rFonts w:hint="eastAsia" w:ascii="仿宋_GB2312" w:hAnsi="宋体"/>
          <w:szCs w:val="32"/>
          <w:highlight w:val="none"/>
          <w:lang w:val="zh-CN"/>
        </w:rPr>
        <w:t>．根据自评情况和年度项目预期目标实现程度，</w:t>
      </w:r>
      <w:r>
        <w:rPr>
          <w:rFonts w:hint="eastAsia" w:ascii="仿宋_GB2312" w:hAnsi="宋体"/>
          <w:szCs w:val="32"/>
          <w:highlight w:val="none"/>
        </w:rPr>
        <w:t>本部门</w:t>
      </w:r>
      <w:r>
        <w:rPr>
          <w:rFonts w:hint="eastAsia" w:ascii="仿宋_GB2312" w:hAnsi="宋体"/>
          <w:szCs w:val="32"/>
          <w:highlight w:val="none"/>
          <w:lang w:val="zh-CN"/>
        </w:rPr>
        <w:t>认为，本项目绩效年度总目标已圆满完成。</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（三）项目自评步骤及方法。</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说明项目绩效自评采用的组织实施步骤及方法。本项目评价工作由</w:t>
      </w:r>
      <w:r>
        <w:rPr>
          <w:rFonts w:hint="eastAsia" w:ascii="仿宋_GB2312" w:hAnsi="宋体"/>
          <w:szCs w:val="32"/>
          <w:highlight w:val="none"/>
        </w:rPr>
        <w:t>区纪委</w:t>
      </w:r>
      <w:r>
        <w:rPr>
          <w:rFonts w:hint="eastAsia" w:ascii="仿宋_GB2312" w:hAnsi="宋体"/>
          <w:szCs w:val="32"/>
          <w:highlight w:val="none"/>
          <w:lang w:val="zh-CN"/>
        </w:rPr>
        <w:t>通过相关数据核实、查阅归纳资料，并结合评价指标，对项目整体实施情况、实施结果、项目资金支出等情况进行评价。评价指标体系按照年度部门预算项目绩效目标进行，内容包括数量指标、时效指标、成本指标、满意度指标。评价方法依据评价指标体系，项目预期目标实现程度，评价本年度绩效目标完成情况。</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二、项目资金申报及使用情况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（一）项目资金申报及批复情况。</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rPr>
        <w:t>本项目财政收入为5.5万元，支出为5.5万元。</w:t>
      </w:r>
    </w:p>
    <w:p>
      <w:pPr>
        <w:adjustRightInd w:val="0"/>
        <w:snapToGrid w:val="0"/>
        <w:spacing w:line="600" w:lineRule="exact"/>
        <w:ind w:firstLine="720"/>
        <w:rPr>
          <w:rFonts w:ascii="仿宋_GB2312" w:hAnsi="宋体"/>
          <w:szCs w:val="32"/>
          <w:highlight w:val="none"/>
          <w:lang w:val="zh-CN"/>
        </w:rPr>
      </w:pPr>
      <w:r>
        <w:rPr>
          <w:rFonts w:hint="eastAsia" w:ascii="楷体_GB2312" w:hAnsi="宋体" w:eastAsia="楷体_GB2312"/>
          <w:b/>
          <w:szCs w:val="32"/>
          <w:highlight w:val="none"/>
          <w:lang w:val="zh-CN"/>
        </w:rPr>
        <w:t>（二）资金计划、到位及使用情况（可用表格形式反映）。</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1</w:t>
      </w:r>
      <w:r>
        <w:rPr>
          <w:rFonts w:hint="eastAsia" w:ascii="楷体_GB2312" w:hAnsi="宋体" w:eastAsia="楷体_GB2312"/>
          <w:szCs w:val="32"/>
          <w:highlight w:val="none"/>
          <w:lang w:val="zh-CN"/>
        </w:rPr>
        <w:t>．资金计划。</w:t>
      </w:r>
      <w:r>
        <w:rPr>
          <w:rFonts w:hint="eastAsia" w:ascii="仿宋_GB2312" w:hAnsi="宋体"/>
          <w:szCs w:val="32"/>
          <w:highlight w:val="none"/>
        </w:rPr>
        <w:t>该项目资金均为本级财政资金，不含自筹资金、其他渠道资金。</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2</w:t>
      </w:r>
      <w:r>
        <w:rPr>
          <w:rFonts w:hint="eastAsia" w:ascii="楷体_GB2312" w:hAnsi="宋体" w:eastAsia="楷体_GB2312"/>
          <w:szCs w:val="32"/>
          <w:highlight w:val="none"/>
          <w:lang w:val="zh-CN"/>
        </w:rPr>
        <w:t>．资金到位。</w:t>
      </w:r>
      <w:r>
        <w:rPr>
          <w:rFonts w:hint="eastAsia" w:ascii="仿宋_GB2312" w:hAnsi="宋体"/>
          <w:szCs w:val="32"/>
          <w:highlight w:val="none"/>
        </w:rPr>
        <w:t>本项目年初预算计划8.5万，实际资金到位5.5万。</w:t>
      </w:r>
    </w:p>
    <w:p>
      <w:pPr>
        <w:adjustRightInd w:val="0"/>
        <w:snapToGrid w:val="0"/>
        <w:spacing w:line="600" w:lineRule="exact"/>
        <w:ind w:firstLine="640" w:firstLineChars="200"/>
        <w:rPr>
          <w:rFonts w:ascii="仿宋_GB2312" w:hAnsi="宋体"/>
          <w:szCs w:val="32"/>
          <w:highlight w:val="none"/>
        </w:rPr>
      </w:pPr>
      <w:r>
        <w:rPr>
          <w:rFonts w:ascii="楷体_GB2312" w:hAnsi="宋体" w:eastAsia="楷体_GB2312"/>
          <w:szCs w:val="32"/>
          <w:highlight w:val="none"/>
          <w:lang w:val="zh-CN"/>
        </w:rPr>
        <w:t>3</w:t>
      </w:r>
      <w:r>
        <w:rPr>
          <w:rFonts w:hint="eastAsia" w:ascii="楷体_GB2312" w:hAnsi="宋体" w:eastAsia="楷体_GB2312"/>
          <w:szCs w:val="32"/>
          <w:highlight w:val="none"/>
          <w:lang w:val="zh-CN"/>
        </w:rPr>
        <w:t>．资金使用。</w:t>
      </w:r>
      <w:r>
        <w:rPr>
          <w:rFonts w:hint="eastAsia" w:ascii="仿宋_GB2312" w:hAnsi="宋体"/>
          <w:szCs w:val="32"/>
          <w:highlight w:val="none"/>
        </w:rPr>
        <w:t>该项目主要用于廉政教育宣传相关工作的人员支出、培训费用支出等。</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（三）项目财务管理情况。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本项目按照相关合同和协议规定的费用支付条件，依据</w:t>
      </w:r>
      <w:r>
        <w:rPr>
          <w:rFonts w:hint="eastAsia" w:ascii="仿宋_GB2312" w:hAnsi="宋体"/>
          <w:szCs w:val="32"/>
          <w:highlight w:val="none"/>
        </w:rPr>
        <w:t>具体</w:t>
      </w:r>
      <w:r>
        <w:rPr>
          <w:rFonts w:hint="eastAsia" w:ascii="仿宋_GB2312" w:hAnsi="宋体"/>
          <w:szCs w:val="32"/>
          <w:highlight w:val="none"/>
          <w:lang w:val="zh-CN"/>
        </w:rPr>
        <w:t>的完成进度，以及项目履约验收报告等进行资金支付管理。</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三、项目实施及管理情况</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lang w:val="zh-CN"/>
        </w:rPr>
        <w:t>本项目按照</w:t>
      </w:r>
      <w:r>
        <w:rPr>
          <w:rFonts w:hint="eastAsia" w:ascii="仿宋_GB2312" w:hAnsi="宋体"/>
          <w:szCs w:val="32"/>
          <w:highlight w:val="none"/>
        </w:rPr>
        <w:t>有关文件，实行据实报销，依据有关同志签批的报销单据</w:t>
      </w:r>
      <w:r>
        <w:rPr>
          <w:rFonts w:hint="eastAsia" w:ascii="仿宋_GB2312" w:hAnsi="宋体"/>
          <w:szCs w:val="32"/>
          <w:highlight w:val="none"/>
          <w:lang w:val="zh-CN"/>
        </w:rPr>
        <w:t>，依据</w:t>
      </w:r>
      <w:r>
        <w:rPr>
          <w:rFonts w:hint="eastAsia" w:ascii="仿宋_GB2312" w:hAnsi="宋体"/>
          <w:szCs w:val="32"/>
          <w:highlight w:val="none"/>
        </w:rPr>
        <w:t>具体</w:t>
      </w:r>
      <w:r>
        <w:rPr>
          <w:rFonts w:hint="eastAsia" w:ascii="仿宋_GB2312" w:hAnsi="宋体"/>
          <w:szCs w:val="32"/>
          <w:highlight w:val="none"/>
          <w:lang w:val="zh-CN"/>
        </w:rPr>
        <w:t>的</w:t>
      </w:r>
      <w:r>
        <w:rPr>
          <w:rFonts w:hint="eastAsia" w:ascii="仿宋_GB2312" w:hAnsi="宋体"/>
          <w:szCs w:val="32"/>
          <w:highlight w:val="none"/>
        </w:rPr>
        <w:t>支付需要</w:t>
      </w:r>
      <w:r>
        <w:rPr>
          <w:rFonts w:hint="eastAsia" w:ascii="仿宋_GB2312" w:hAnsi="宋体"/>
          <w:szCs w:val="32"/>
          <w:highlight w:val="none"/>
          <w:lang w:val="zh-CN"/>
        </w:rPr>
        <w:t>，进行资金支付管理。</w:t>
      </w:r>
    </w:p>
    <w:p>
      <w:pPr>
        <w:adjustRightInd w:val="0"/>
        <w:snapToGrid w:val="0"/>
        <w:spacing w:line="600" w:lineRule="exact"/>
        <w:ind w:firstLine="720"/>
        <w:rPr>
          <w:rFonts w:ascii="仿宋_GB2312" w:hAnsi="宋体"/>
          <w:szCs w:val="32"/>
          <w:highlight w:val="none"/>
          <w:lang w:val="zh-CN"/>
        </w:rPr>
      </w:pPr>
      <w:r>
        <w:rPr>
          <w:rFonts w:hint="eastAsia" w:ascii="黑体" w:hAnsi="宋体" w:eastAsia="黑体"/>
          <w:szCs w:val="32"/>
          <w:highlight w:val="none"/>
        </w:rPr>
        <w:t>四、项目绩效情况</w:t>
      </w:r>
      <w:r>
        <w:rPr>
          <w:rFonts w:ascii="仿宋_GB2312" w:hAnsi="宋体"/>
          <w:szCs w:val="32"/>
          <w:highlight w:val="none"/>
          <w:lang w:val="zh-CN"/>
        </w:rPr>
        <w:tab/>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（一）项目完成情况。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仿宋_GB2312" w:hAnsi="宋体"/>
          <w:szCs w:val="32"/>
          <w:highlight w:val="none"/>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（二）项目效益情况。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五、评价结论及建议</w:t>
      </w:r>
    </w:p>
    <w:p>
      <w:pPr>
        <w:adjustRightInd w:val="0"/>
        <w:snapToGrid w:val="0"/>
        <w:spacing w:line="600" w:lineRule="exact"/>
        <w:ind w:firstLine="720"/>
        <w:rPr>
          <w:highlight w:val="none"/>
          <w:lang w:val="zh-CN"/>
        </w:rPr>
      </w:pPr>
      <w:r>
        <w:rPr>
          <w:rFonts w:hint="eastAsia" w:ascii="楷体_GB2312" w:hAnsi="宋体" w:eastAsia="楷体_GB2312"/>
          <w:b/>
          <w:szCs w:val="32"/>
          <w:highlight w:val="none"/>
          <w:lang w:val="zh-CN"/>
        </w:rPr>
        <w:t>（一）评价结论。</w:t>
      </w:r>
    </w:p>
    <w:p>
      <w:pPr>
        <w:adjustRightInd w:val="0"/>
        <w:snapToGrid w:val="0"/>
        <w:spacing w:line="600" w:lineRule="exact"/>
        <w:ind w:firstLine="640" w:firstLineChars="200"/>
        <w:jc w:val="center"/>
        <w:rPr>
          <w:highlight w:val="none"/>
          <w:lang w:val="zh-CN"/>
        </w:rPr>
      </w:pPr>
      <w:r>
        <w:rPr>
          <w:rFonts w:hint="eastAsia"/>
          <w:highlight w:val="none"/>
          <w:lang w:val="zh-CN"/>
        </w:rPr>
        <w:t>“廉政教育宣传费”部门预算项目绩效自评表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0"/>
        <w:gridCol w:w="2236"/>
        <w:gridCol w:w="1419"/>
        <w:gridCol w:w="1759"/>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155" w:type="dxa"/>
            <w:gridSpan w:val="3"/>
          </w:tcPr>
          <w:p>
            <w:pPr>
              <w:pStyle w:val="2"/>
              <w:ind w:left="0" w:leftChars="0"/>
              <w:rPr>
                <w:sz w:val="22"/>
                <w:szCs w:val="20"/>
                <w:highlight w:val="none"/>
                <w:lang w:val="zh-CN"/>
              </w:rPr>
            </w:pPr>
            <w:r>
              <w:rPr>
                <w:rFonts w:hint="eastAsia"/>
                <w:sz w:val="22"/>
                <w:szCs w:val="20"/>
                <w:highlight w:val="none"/>
                <w:lang w:val="zh-CN"/>
              </w:rPr>
              <w:t>绩效指标</w:t>
            </w:r>
          </w:p>
          <w:p>
            <w:pPr>
              <w:pStyle w:val="2"/>
              <w:ind w:left="0" w:leftChars="0"/>
              <w:rPr>
                <w:sz w:val="22"/>
                <w:szCs w:val="20"/>
                <w:highlight w:val="none"/>
                <w:lang w:val="zh-CN"/>
              </w:rPr>
            </w:pPr>
          </w:p>
        </w:tc>
        <w:tc>
          <w:tcPr>
            <w:tcW w:w="1759" w:type="dxa"/>
            <w:vMerge w:val="restart"/>
          </w:tcPr>
          <w:p>
            <w:pPr>
              <w:pStyle w:val="2"/>
              <w:ind w:left="0" w:leftChars="0"/>
              <w:rPr>
                <w:sz w:val="22"/>
                <w:szCs w:val="20"/>
                <w:highlight w:val="none"/>
                <w:lang w:val="zh-CN"/>
              </w:rPr>
            </w:pPr>
            <w:r>
              <w:rPr>
                <w:rFonts w:hint="eastAsia"/>
                <w:sz w:val="22"/>
                <w:szCs w:val="20"/>
                <w:highlight w:val="none"/>
                <w:lang w:val="zh-CN"/>
              </w:rPr>
              <w:t>指标分值</w:t>
            </w:r>
          </w:p>
          <w:p>
            <w:pPr>
              <w:pStyle w:val="2"/>
              <w:ind w:left="0" w:leftChars="0"/>
              <w:rPr>
                <w:sz w:val="22"/>
                <w:szCs w:val="20"/>
                <w:highlight w:val="none"/>
              </w:rPr>
            </w:pPr>
          </w:p>
        </w:tc>
        <w:tc>
          <w:tcPr>
            <w:tcW w:w="1608" w:type="dxa"/>
            <w:vMerge w:val="restart"/>
          </w:tcPr>
          <w:p>
            <w:pPr>
              <w:pStyle w:val="2"/>
              <w:ind w:left="0" w:leftChars="0"/>
              <w:rPr>
                <w:sz w:val="22"/>
                <w:szCs w:val="20"/>
                <w:highlight w:val="none"/>
                <w:lang w:val="zh-CN"/>
              </w:rPr>
            </w:pPr>
            <w:r>
              <w:rPr>
                <w:rFonts w:hint="eastAsia"/>
                <w:sz w:val="22"/>
                <w:szCs w:val="20"/>
                <w:highlight w:val="none"/>
                <w:lang w:val="zh-CN"/>
              </w:rPr>
              <w:t>自评</w:t>
            </w:r>
            <w:r>
              <w:rPr>
                <w:rFonts w:hint="eastAsia"/>
                <w:sz w:val="22"/>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 xml:space="preserve">一级指标 </w:t>
            </w:r>
          </w:p>
        </w:tc>
        <w:tc>
          <w:tcPr>
            <w:tcW w:w="2236" w:type="dxa"/>
          </w:tcPr>
          <w:p>
            <w:pPr>
              <w:pStyle w:val="2"/>
              <w:ind w:left="0" w:leftChars="0"/>
              <w:rPr>
                <w:sz w:val="22"/>
                <w:szCs w:val="20"/>
                <w:highlight w:val="none"/>
                <w:lang w:val="zh-CN"/>
              </w:rPr>
            </w:pPr>
            <w:r>
              <w:rPr>
                <w:rFonts w:hint="eastAsia"/>
                <w:sz w:val="22"/>
                <w:szCs w:val="20"/>
                <w:highlight w:val="none"/>
                <w:lang w:val="zh-CN"/>
              </w:rPr>
              <w:t xml:space="preserve">二级指标 </w:t>
            </w:r>
          </w:p>
        </w:tc>
        <w:tc>
          <w:tcPr>
            <w:tcW w:w="1419" w:type="dxa"/>
          </w:tcPr>
          <w:p>
            <w:pPr>
              <w:pStyle w:val="2"/>
              <w:ind w:left="0" w:leftChars="0"/>
              <w:rPr>
                <w:sz w:val="22"/>
                <w:szCs w:val="20"/>
                <w:highlight w:val="none"/>
                <w:lang w:val="zh-CN"/>
              </w:rPr>
            </w:pPr>
            <w:r>
              <w:rPr>
                <w:rFonts w:hint="eastAsia"/>
                <w:sz w:val="22"/>
                <w:szCs w:val="20"/>
                <w:highlight w:val="none"/>
                <w:lang w:val="zh-CN"/>
              </w:rPr>
              <w:t>三级指标</w:t>
            </w:r>
          </w:p>
        </w:tc>
        <w:tc>
          <w:tcPr>
            <w:tcW w:w="1759" w:type="dxa"/>
            <w:vMerge w:val="continue"/>
          </w:tcPr>
          <w:p>
            <w:pPr>
              <w:pStyle w:val="2"/>
              <w:ind w:left="0" w:leftChars="0"/>
              <w:rPr>
                <w:sz w:val="22"/>
                <w:szCs w:val="20"/>
                <w:highlight w:val="none"/>
              </w:rPr>
            </w:pPr>
          </w:p>
        </w:tc>
        <w:tc>
          <w:tcPr>
            <w:tcW w:w="1608" w:type="dxa"/>
            <w:vMerge w:val="continue"/>
          </w:tcPr>
          <w:p>
            <w:pPr>
              <w:pStyle w:val="2"/>
              <w:ind w:left="0" w:leftChars="0"/>
              <w:rPr>
                <w:sz w:val="22"/>
                <w:szCs w:val="20"/>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部门预算管理（70 分）</w:t>
            </w:r>
          </w:p>
          <w:p>
            <w:pPr>
              <w:pStyle w:val="2"/>
              <w:ind w:left="0" w:leftChars="0"/>
              <w:rPr>
                <w:sz w:val="22"/>
                <w:szCs w:val="20"/>
                <w:highlight w:val="none"/>
                <w:lang w:val="zh-CN"/>
              </w:rPr>
            </w:pPr>
          </w:p>
        </w:tc>
        <w:tc>
          <w:tcPr>
            <w:tcW w:w="2236" w:type="dxa"/>
            <w:vMerge w:val="restart"/>
          </w:tcPr>
          <w:p>
            <w:pPr>
              <w:pStyle w:val="2"/>
              <w:ind w:left="0" w:leftChars="0"/>
              <w:rPr>
                <w:sz w:val="22"/>
                <w:szCs w:val="20"/>
                <w:highlight w:val="none"/>
                <w:lang w:val="zh-CN"/>
              </w:rPr>
            </w:pPr>
            <w:r>
              <w:rPr>
                <w:rFonts w:hint="eastAsia"/>
                <w:sz w:val="22"/>
                <w:szCs w:val="20"/>
                <w:highlight w:val="none"/>
                <w:lang w:val="zh-CN"/>
              </w:rPr>
              <w:t>预算编制（30 分）</w:t>
            </w:r>
          </w:p>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目标制定</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目标实现</w:t>
            </w:r>
          </w:p>
        </w:tc>
        <w:tc>
          <w:tcPr>
            <w:tcW w:w="1759" w:type="dxa"/>
          </w:tcPr>
          <w:p>
            <w:pPr>
              <w:rPr>
                <w:sz w:val="22"/>
                <w:szCs w:val="20"/>
                <w:highlight w:val="none"/>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 xml:space="preserve">编制准确 </w:t>
            </w:r>
          </w:p>
        </w:tc>
        <w:tc>
          <w:tcPr>
            <w:tcW w:w="1759" w:type="dxa"/>
          </w:tcPr>
          <w:p>
            <w:pPr>
              <w:pStyle w:val="2"/>
              <w:ind w:left="0" w:leftChars="0"/>
              <w:rPr>
                <w:sz w:val="22"/>
                <w:szCs w:val="20"/>
                <w:highlight w:val="none"/>
              </w:rPr>
            </w:pPr>
            <w:r>
              <w:rPr>
                <w:rFonts w:hint="eastAsia"/>
                <w:sz w:val="22"/>
                <w:szCs w:val="20"/>
                <w:highlight w:val="none"/>
              </w:rPr>
              <w:t>10</w:t>
            </w:r>
          </w:p>
        </w:tc>
        <w:tc>
          <w:tcPr>
            <w:tcW w:w="1608" w:type="dxa"/>
          </w:tcPr>
          <w:p>
            <w:pPr>
              <w:pStyle w:val="2"/>
              <w:ind w:left="0" w:leftChars="0"/>
              <w:rPr>
                <w:sz w:val="22"/>
                <w:szCs w:val="20"/>
                <w:highlight w:val="none"/>
              </w:rPr>
            </w:pPr>
            <w:r>
              <w:rPr>
                <w:rFonts w:hint="eastAsia"/>
                <w:sz w:val="22"/>
                <w:szCs w:val="20"/>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预算执行（20 分）</w:t>
            </w:r>
          </w:p>
        </w:tc>
        <w:tc>
          <w:tcPr>
            <w:tcW w:w="1419" w:type="dxa"/>
          </w:tcPr>
          <w:p>
            <w:pPr>
              <w:pStyle w:val="2"/>
              <w:ind w:left="0" w:leftChars="0"/>
              <w:rPr>
                <w:sz w:val="22"/>
                <w:szCs w:val="20"/>
                <w:highlight w:val="none"/>
                <w:lang w:val="zh-CN"/>
              </w:rPr>
            </w:pPr>
            <w:r>
              <w:rPr>
                <w:rFonts w:hint="eastAsia"/>
                <w:sz w:val="22"/>
                <w:szCs w:val="20"/>
                <w:highlight w:val="none"/>
                <w:lang w:val="zh-CN"/>
              </w:rPr>
              <w:t>执行进度</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完成结果（20 分）</w:t>
            </w:r>
          </w:p>
        </w:tc>
        <w:tc>
          <w:tcPr>
            <w:tcW w:w="1419" w:type="dxa"/>
          </w:tcPr>
          <w:p>
            <w:pPr>
              <w:pStyle w:val="2"/>
              <w:ind w:left="0" w:leftChars="0"/>
              <w:rPr>
                <w:sz w:val="22"/>
                <w:szCs w:val="20"/>
                <w:highlight w:val="none"/>
                <w:lang w:val="zh-CN"/>
              </w:rPr>
            </w:pPr>
            <w:r>
              <w:rPr>
                <w:rFonts w:hint="eastAsia"/>
                <w:sz w:val="22"/>
                <w:szCs w:val="20"/>
                <w:highlight w:val="none"/>
                <w:lang w:val="zh-CN"/>
              </w:rPr>
              <w:t>预算完成</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绩效结果应用（20 分）</w:t>
            </w:r>
          </w:p>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信息公开（10 分)</w:t>
            </w:r>
          </w:p>
        </w:tc>
        <w:tc>
          <w:tcPr>
            <w:tcW w:w="1419" w:type="dxa"/>
          </w:tcPr>
          <w:p>
            <w:pPr>
              <w:pStyle w:val="2"/>
              <w:ind w:left="0" w:leftChars="0"/>
              <w:rPr>
                <w:sz w:val="22"/>
                <w:szCs w:val="20"/>
                <w:highlight w:val="none"/>
                <w:lang w:val="zh-CN"/>
              </w:rPr>
            </w:pPr>
            <w:r>
              <w:rPr>
                <w:rFonts w:hint="eastAsia"/>
                <w:sz w:val="22"/>
                <w:szCs w:val="20"/>
                <w:highlight w:val="none"/>
                <w:lang w:val="zh-CN"/>
              </w:rPr>
              <w:t>自评公开</w:t>
            </w:r>
          </w:p>
        </w:tc>
        <w:tc>
          <w:tcPr>
            <w:tcW w:w="1759" w:type="dxa"/>
          </w:tcPr>
          <w:p>
            <w:pPr>
              <w:pStyle w:val="2"/>
              <w:ind w:left="0" w:leftChars="0"/>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整改反馈（10 分）</w:t>
            </w:r>
          </w:p>
        </w:tc>
        <w:tc>
          <w:tcPr>
            <w:tcW w:w="1419" w:type="dxa"/>
          </w:tcPr>
          <w:p>
            <w:pPr>
              <w:pStyle w:val="2"/>
              <w:ind w:left="0" w:leftChars="0"/>
              <w:rPr>
                <w:sz w:val="22"/>
                <w:szCs w:val="20"/>
                <w:highlight w:val="none"/>
                <w:lang w:val="zh-CN"/>
              </w:rPr>
            </w:pPr>
            <w:r>
              <w:rPr>
                <w:rFonts w:hint="eastAsia"/>
                <w:sz w:val="22"/>
                <w:szCs w:val="20"/>
                <w:highlight w:val="none"/>
                <w:lang w:val="zh-CN"/>
              </w:rPr>
              <w:t>结果整改</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2236"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1419" w:type="dxa"/>
          </w:tcPr>
          <w:p>
            <w:pPr>
              <w:pStyle w:val="2"/>
              <w:ind w:left="0" w:leftChars="0"/>
              <w:rPr>
                <w:sz w:val="22"/>
                <w:szCs w:val="20"/>
                <w:highlight w:val="none"/>
                <w:lang w:val="zh-CN"/>
              </w:rPr>
            </w:pPr>
            <w:r>
              <w:rPr>
                <w:rFonts w:hint="eastAsia"/>
                <w:sz w:val="22"/>
                <w:szCs w:val="20"/>
                <w:highlight w:val="none"/>
                <w:lang w:val="zh-CN"/>
              </w:rPr>
              <w:t>自评准确</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4" w:type="dxa"/>
            <w:gridSpan w:val="4"/>
          </w:tcPr>
          <w:p>
            <w:pPr>
              <w:pStyle w:val="2"/>
              <w:ind w:left="0" w:leftChars="0"/>
              <w:jc w:val="center"/>
              <w:rPr>
                <w:sz w:val="22"/>
                <w:szCs w:val="20"/>
                <w:highlight w:val="none"/>
              </w:rPr>
            </w:pPr>
          </w:p>
        </w:tc>
        <w:tc>
          <w:tcPr>
            <w:tcW w:w="1608" w:type="dxa"/>
          </w:tcPr>
          <w:p>
            <w:pPr>
              <w:pStyle w:val="2"/>
              <w:ind w:left="0" w:leftChars="0"/>
              <w:rPr>
                <w:sz w:val="22"/>
                <w:szCs w:val="20"/>
                <w:highlight w:val="none"/>
              </w:rPr>
            </w:pPr>
            <w:r>
              <w:rPr>
                <w:rFonts w:hint="eastAsia"/>
                <w:sz w:val="22"/>
                <w:szCs w:val="20"/>
                <w:highlight w:val="none"/>
              </w:rPr>
              <w:t>96</w:t>
            </w:r>
          </w:p>
        </w:tc>
      </w:tr>
    </w:tbl>
    <w:p>
      <w:pPr>
        <w:adjustRightInd w:val="0"/>
        <w:snapToGrid w:val="0"/>
        <w:spacing w:line="600" w:lineRule="exact"/>
        <w:ind w:firstLine="720"/>
        <w:rPr>
          <w:rFonts w:ascii="楷体_GB2312" w:hAnsi="宋体" w:eastAsia="楷体_GB2312"/>
          <w:b/>
          <w:szCs w:val="32"/>
          <w:highlight w:val="none"/>
        </w:rPr>
      </w:pPr>
      <w:r>
        <w:rPr>
          <w:rFonts w:hint="eastAsia" w:ascii="楷体_GB2312" w:hAnsi="宋体" w:eastAsia="楷体_GB2312"/>
          <w:b/>
          <w:szCs w:val="32"/>
          <w:highlight w:val="none"/>
          <w:lang w:val="zh-CN"/>
        </w:rPr>
        <w:t>（二）存在的问题。</w:t>
      </w:r>
      <w:r>
        <w:rPr>
          <w:rFonts w:hint="eastAsia" w:ascii="仿宋_GB2312" w:hAnsi="宋体"/>
          <w:szCs w:val="32"/>
          <w:highlight w:val="none"/>
        </w:rPr>
        <w:t>编制预算不够准确。该项目支出主要依据</w:t>
      </w:r>
      <w:r>
        <w:rPr>
          <w:rFonts w:hint="eastAsia" w:ascii="仿宋_GB2312" w:hAnsi="宋体"/>
          <w:szCs w:val="32"/>
          <w:highlight w:val="none"/>
          <w:lang w:val="en-US" w:eastAsia="zh-CN"/>
        </w:rPr>
        <w:t>开展的廉政教育宣传</w:t>
      </w:r>
      <w:r>
        <w:rPr>
          <w:rFonts w:hint="eastAsia" w:ascii="仿宋_GB2312" w:hAnsi="宋体"/>
          <w:szCs w:val="32"/>
          <w:highlight w:val="none"/>
        </w:rPr>
        <w:t>情况而定，只能预估概数，因此导致预算与实际执行情况有差异。</w:t>
      </w:r>
    </w:p>
    <w:p>
      <w:pPr>
        <w:adjustRightInd w:val="0"/>
        <w:snapToGrid w:val="0"/>
        <w:spacing w:line="600" w:lineRule="exact"/>
        <w:ind w:firstLine="720"/>
        <w:rPr>
          <w:rFonts w:hint="eastAsia" w:ascii="仿宋_GB2312" w:hAnsi="宋体"/>
          <w:szCs w:val="32"/>
          <w:highlight w:val="none"/>
          <w:lang w:val="zh-CN" w:eastAsia="zh-CN"/>
        </w:rPr>
      </w:pPr>
      <w:r>
        <w:rPr>
          <w:rFonts w:hint="eastAsia" w:ascii="楷体_GB2312" w:hAnsi="宋体" w:eastAsia="楷体_GB2312"/>
          <w:b/>
          <w:szCs w:val="32"/>
          <w:highlight w:val="none"/>
          <w:lang w:val="zh-CN"/>
        </w:rPr>
        <w:t>（三）相关建议。</w:t>
      </w:r>
      <w:r>
        <w:rPr>
          <w:rFonts w:hint="eastAsia" w:ascii="仿宋_GB2312" w:hAnsi="宋体"/>
          <w:szCs w:val="32"/>
          <w:highlight w:val="none"/>
          <w:lang w:val="zh-CN" w:eastAsia="zh-CN"/>
        </w:rPr>
        <w:t>下一步将加强前期评估，</w:t>
      </w:r>
      <w:r>
        <w:rPr>
          <w:rFonts w:hint="eastAsia" w:ascii="仿宋_GB2312" w:hAnsi="宋体"/>
          <w:szCs w:val="32"/>
          <w:highlight w:val="none"/>
          <w:lang w:val="en-US" w:eastAsia="zh-CN"/>
        </w:rPr>
        <w:t>着眼廉政教育宣传</w:t>
      </w:r>
      <w:r>
        <w:rPr>
          <w:rFonts w:hint="eastAsia" w:ascii="仿宋_GB2312" w:hAnsi="宋体"/>
          <w:szCs w:val="32"/>
          <w:highlight w:val="none"/>
          <w:lang w:val="zh-CN" w:eastAsia="zh-CN"/>
        </w:rPr>
        <w:t>计划安排的前瞻性，加快项目预算执行进度。</w:t>
      </w: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both"/>
        <w:outlineLvl w:val="0"/>
        <w:rPr>
          <w:rFonts w:ascii="黑体" w:hAnsi="黑体" w:eastAsia="黑体"/>
          <w:color w:val="000000"/>
          <w:sz w:val="44"/>
          <w:szCs w:val="44"/>
          <w:highlight w:val="none"/>
        </w:rPr>
      </w:pPr>
    </w:p>
    <w:p>
      <w:pPr>
        <w:pStyle w:val="2"/>
      </w:pPr>
    </w:p>
    <w:p/>
    <w:p>
      <w:pPr>
        <w:pStyle w:val="2"/>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Style w:val="20"/>
          <w:rFonts w:ascii="黑体" w:hAnsi="黑体" w:eastAsia="黑体"/>
          <w:b w:val="0"/>
          <w:highlight w:val="none"/>
        </w:rPr>
      </w:pPr>
      <w:r>
        <w:rPr>
          <w:rFonts w:hint="eastAsia" w:ascii="黑体" w:hAnsi="黑体" w:eastAsia="黑体"/>
          <w:color w:val="000000"/>
          <w:sz w:val="44"/>
          <w:szCs w:val="44"/>
          <w:highlight w:val="none"/>
        </w:rPr>
        <w:t>第</w:t>
      </w:r>
      <w:r>
        <w:rPr>
          <w:rStyle w:val="20"/>
          <w:rFonts w:hint="eastAsia" w:ascii="黑体" w:hAnsi="黑体" w:eastAsia="黑体"/>
          <w:b w:val="0"/>
          <w:highlight w:val="none"/>
        </w:rPr>
        <w:t>五部分附表</w:t>
      </w:r>
      <w:bookmarkEnd w:id="60"/>
      <w:bookmarkEnd w:id="63"/>
      <w:bookmarkEnd w:id="64"/>
    </w:p>
    <w:p>
      <w:pPr>
        <w:pStyle w:val="4"/>
        <w:rPr>
          <w:rFonts w:ascii="仿宋" w:hAnsi="仿宋" w:eastAsia="仿宋"/>
          <w:color w:val="000000"/>
          <w:highlight w:val="none"/>
        </w:rPr>
      </w:pPr>
      <w:bookmarkStart w:id="65" w:name="_Toc15396619"/>
      <w:bookmarkStart w:id="66" w:name="_Toc15699"/>
      <w:r>
        <w:rPr>
          <w:rFonts w:hint="eastAsia" w:ascii="仿宋" w:hAnsi="仿宋" w:eastAsia="仿宋"/>
          <w:b w:val="0"/>
          <w:color w:val="000000"/>
          <w:highlight w:val="none"/>
        </w:rPr>
        <w:t>一、收</w:t>
      </w:r>
      <w:r>
        <w:rPr>
          <w:rStyle w:val="21"/>
          <w:rFonts w:hint="eastAsia" w:ascii="仿宋" w:hAnsi="仿宋" w:eastAsia="仿宋"/>
          <w:b w:val="0"/>
          <w:bCs w:val="0"/>
          <w:highlight w:val="none"/>
        </w:rPr>
        <w:t>入支出决算总表</w:t>
      </w:r>
      <w:bookmarkEnd w:id="65"/>
      <w:bookmarkEnd w:id="66"/>
    </w:p>
    <w:p>
      <w:pPr>
        <w:pStyle w:val="4"/>
        <w:rPr>
          <w:rFonts w:ascii="仿宋" w:hAnsi="仿宋" w:eastAsia="仿宋"/>
          <w:color w:val="000000"/>
          <w:highlight w:val="none"/>
        </w:rPr>
      </w:pPr>
      <w:bookmarkStart w:id="67" w:name="_Toc27106"/>
      <w:bookmarkStart w:id="68" w:name="_Toc15396620"/>
      <w:r>
        <w:rPr>
          <w:rFonts w:hint="eastAsia" w:ascii="仿宋" w:hAnsi="仿宋" w:eastAsia="仿宋"/>
          <w:b w:val="0"/>
          <w:color w:val="000000"/>
          <w:highlight w:val="none"/>
        </w:rPr>
        <w:t>二、收</w:t>
      </w:r>
      <w:r>
        <w:rPr>
          <w:rStyle w:val="21"/>
          <w:rFonts w:hint="eastAsia" w:ascii="仿宋" w:hAnsi="仿宋" w:eastAsia="仿宋"/>
          <w:b w:val="0"/>
          <w:bCs w:val="0"/>
          <w:highlight w:val="none"/>
        </w:rPr>
        <w:t>入决算表</w:t>
      </w:r>
      <w:bookmarkEnd w:id="67"/>
      <w:bookmarkEnd w:id="68"/>
    </w:p>
    <w:p>
      <w:pPr>
        <w:pStyle w:val="4"/>
        <w:rPr>
          <w:rFonts w:ascii="仿宋" w:hAnsi="仿宋" w:eastAsia="仿宋"/>
          <w:color w:val="000000"/>
          <w:highlight w:val="none"/>
        </w:rPr>
      </w:pPr>
      <w:bookmarkStart w:id="69" w:name="_Toc26817"/>
      <w:bookmarkStart w:id="70" w:name="_Toc15396621"/>
      <w:r>
        <w:rPr>
          <w:rStyle w:val="21"/>
          <w:rFonts w:hint="eastAsia" w:ascii="仿宋" w:hAnsi="仿宋" w:eastAsia="仿宋"/>
          <w:b w:val="0"/>
          <w:bCs w:val="0"/>
          <w:highlight w:val="none"/>
        </w:rPr>
        <w:t>三、</w:t>
      </w:r>
      <w:r>
        <w:rPr>
          <w:rFonts w:hint="eastAsia" w:ascii="仿宋" w:hAnsi="仿宋" w:eastAsia="仿宋"/>
          <w:b w:val="0"/>
          <w:color w:val="000000"/>
          <w:highlight w:val="none"/>
        </w:rPr>
        <w:t>支</w:t>
      </w:r>
      <w:r>
        <w:rPr>
          <w:rStyle w:val="21"/>
          <w:rFonts w:hint="eastAsia" w:ascii="仿宋" w:hAnsi="仿宋" w:eastAsia="仿宋"/>
          <w:b w:val="0"/>
          <w:bCs w:val="0"/>
          <w:highlight w:val="none"/>
        </w:rPr>
        <w:t>出决算表</w:t>
      </w:r>
      <w:bookmarkEnd w:id="69"/>
      <w:bookmarkEnd w:id="70"/>
    </w:p>
    <w:p>
      <w:pPr>
        <w:pStyle w:val="4"/>
        <w:rPr>
          <w:rFonts w:ascii="仿宋" w:hAnsi="仿宋" w:eastAsia="仿宋"/>
          <w:b w:val="0"/>
          <w:color w:val="000000"/>
          <w:highlight w:val="none"/>
        </w:rPr>
      </w:pPr>
      <w:bookmarkStart w:id="71" w:name="_Toc15396622"/>
      <w:bookmarkStart w:id="72" w:name="_Toc21747"/>
      <w:r>
        <w:rPr>
          <w:rStyle w:val="21"/>
          <w:rFonts w:hint="eastAsia" w:ascii="仿宋" w:hAnsi="仿宋" w:eastAsia="仿宋"/>
          <w:b w:val="0"/>
          <w:bCs w:val="0"/>
          <w:highlight w:val="none"/>
        </w:rPr>
        <w:t>四、</w:t>
      </w:r>
      <w:r>
        <w:rPr>
          <w:rFonts w:hint="eastAsia" w:ascii="仿宋" w:hAnsi="仿宋" w:eastAsia="仿宋"/>
          <w:b w:val="0"/>
          <w:color w:val="000000"/>
          <w:highlight w:val="none"/>
        </w:rPr>
        <w:t>财</w:t>
      </w:r>
      <w:r>
        <w:rPr>
          <w:rStyle w:val="21"/>
          <w:rFonts w:hint="eastAsia" w:ascii="仿宋" w:hAnsi="仿宋" w:eastAsia="仿宋"/>
          <w:b w:val="0"/>
          <w:bCs w:val="0"/>
          <w:highlight w:val="none"/>
        </w:rPr>
        <w:t>政拨款收入支出决算总表</w:t>
      </w:r>
      <w:bookmarkEnd w:id="71"/>
      <w:bookmarkEnd w:id="72"/>
    </w:p>
    <w:p>
      <w:pPr>
        <w:pStyle w:val="4"/>
        <w:rPr>
          <w:rStyle w:val="21"/>
          <w:rFonts w:ascii="仿宋" w:hAnsi="仿宋" w:eastAsia="仿宋"/>
          <w:b w:val="0"/>
          <w:bCs w:val="0"/>
          <w:highlight w:val="none"/>
        </w:rPr>
      </w:pPr>
      <w:bookmarkStart w:id="73" w:name="_Toc12959"/>
      <w:bookmarkStart w:id="74" w:name="_Toc15396623"/>
      <w:r>
        <w:rPr>
          <w:rStyle w:val="21"/>
          <w:rFonts w:hint="eastAsia" w:ascii="仿宋" w:hAnsi="仿宋" w:eastAsia="仿宋"/>
          <w:b w:val="0"/>
          <w:bCs w:val="0"/>
          <w:highlight w:val="none"/>
        </w:rPr>
        <w:t>五、</w:t>
      </w:r>
      <w:r>
        <w:rPr>
          <w:rFonts w:hint="eastAsia" w:ascii="仿宋" w:hAnsi="仿宋" w:eastAsia="仿宋"/>
          <w:b w:val="0"/>
          <w:color w:val="000000"/>
          <w:highlight w:val="none"/>
        </w:rPr>
        <w:t>财</w:t>
      </w:r>
      <w:r>
        <w:rPr>
          <w:rStyle w:val="21"/>
          <w:rFonts w:hint="eastAsia" w:ascii="仿宋" w:hAnsi="仿宋" w:eastAsia="仿宋"/>
          <w:b w:val="0"/>
          <w:bCs w:val="0"/>
          <w:highlight w:val="none"/>
        </w:rPr>
        <w:t>政拨款支出决算明细表</w:t>
      </w:r>
      <w:bookmarkEnd w:id="73"/>
      <w:bookmarkEnd w:id="74"/>
      <w:bookmarkStart w:id="75" w:name="_Toc15396624"/>
    </w:p>
    <w:p>
      <w:pPr>
        <w:pStyle w:val="4"/>
        <w:rPr>
          <w:rFonts w:ascii="仿宋" w:hAnsi="仿宋" w:eastAsia="仿宋"/>
          <w:color w:val="000000"/>
          <w:highlight w:val="none"/>
        </w:rPr>
      </w:pPr>
      <w:bookmarkStart w:id="76" w:name="_Toc23749"/>
      <w:r>
        <w:rPr>
          <w:rStyle w:val="21"/>
          <w:rFonts w:hint="eastAsia" w:ascii="仿宋" w:hAnsi="仿宋" w:eastAsia="仿宋"/>
          <w:b w:val="0"/>
          <w:bCs w:val="0"/>
          <w:highlight w:val="none"/>
        </w:rPr>
        <w:t>六、</w:t>
      </w:r>
      <w:r>
        <w:rPr>
          <w:rFonts w:hint="eastAsia" w:ascii="仿宋" w:hAnsi="仿宋" w:eastAsia="仿宋"/>
          <w:b w:val="0"/>
          <w:color w:val="000000"/>
          <w:highlight w:val="none"/>
        </w:rPr>
        <w:t>一</w:t>
      </w:r>
      <w:r>
        <w:rPr>
          <w:rStyle w:val="21"/>
          <w:rFonts w:hint="eastAsia" w:ascii="仿宋" w:hAnsi="仿宋" w:eastAsia="仿宋"/>
          <w:b w:val="0"/>
          <w:bCs w:val="0"/>
          <w:highlight w:val="none"/>
        </w:rPr>
        <w:t>般公共预算财政拨款支出决算表</w:t>
      </w:r>
      <w:bookmarkEnd w:id="75"/>
      <w:bookmarkEnd w:id="76"/>
    </w:p>
    <w:p>
      <w:pPr>
        <w:pStyle w:val="4"/>
        <w:rPr>
          <w:rFonts w:ascii="仿宋" w:hAnsi="仿宋" w:eastAsia="仿宋"/>
          <w:color w:val="000000"/>
          <w:highlight w:val="none"/>
        </w:rPr>
      </w:pPr>
      <w:bookmarkStart w:id="77" w:name="_Toc15396625"/>
      <w:bookmarkStart w:id="78" w:name="_Toc22275"/>
      <w:r>
        <w:rPr>
          <w:rStyle w:val="21"/>
          <w:rFonts w:hint="eastAsia" w:ascii="仿宋" w:hAnsi="仿宋" w:eastAsia="仿宋"/>
          <w:b w:val="0"/>
          <w:bCs w:val="0"/>
          <w:highlight w:val="none"/>
        </w:rPr>
        <w:t>七、</w:t>
      </w:r>
      <w:r>
        <w:rPr>
          <w:rFonts w:hint="eastAsia" w:ascii="仿宋" w:hAnsi="仿宋" w:eastAsia="仿宋"/>
          <w:b w:val="0"/>
          <w:color w:val="000000"/>
          <w:highlight w:val="none"/>
        </w:rPr>
        <w:t>一</w:t>
      </w:r>
      <w:r>
        <w:rPr>
          <w:rStyle w:val="21"/>
          <w:rFonts w:hint="eastAsia" w:ascii="仿宋" w:hAnsi="仿宋" w:eastAsia="仿宋"/>
          <w:b w:val="0"/>
          <w:bCs w:val="0"/>
          <w:highlight w:val="none"/>
        </w:rPr>
        <w:t>般公共预算财政拨款支出决算明细表</w:t>
      </w:r>
      <w:bookmarkEnd w:id="77"/>
      <w:bookmarkEnd w:id="78"/>
    </w:p>
    <w:p>
      <w:pPr>
        <w:pStyle w:val="4"/>
        <w:rPr>
          <w:rFonts w:ascii="仿宋" w:hAnsi="仿宋" w:eastAsia="仿宋"/>
          <w:color w:val="000000"/>
          <w:highlight w:val="none"/>
        </w:rPr>
      </w:pPr>
      <w:bookmarkStart w:id="79" w:name="_Toc30634"/>
      <w:bookmarkStart w:id="80" w:name="_Toc15396626"/>
      <w:r>
        <w:rPr>
          <w:rStyle w:val="21"/>
          <w:rFonts w:hint="eastAsia" w:ascii="仿宋" w:hAnsi="仿宋" w:eastAsia="仿宋"/>
          <w:b w:val="0"/>
          <w:bCs w:val="0"/>
          <w:highlight w:val="none"/>
        </w:rPr>
        <w:t>八、</w:t>
      </w:r>
      <w:r>
        <w:rPr>
          <w:rFonts w:hint="eastAsia" w:ascii="仿宋" w:hAnsi="仿宋" w:eastAsia="仿宋"/>
          <w:b w:val="0"/>
          <w:color w:val="000000"/>
          <w:highlight w:val="none"/>
        </w:rPr>
        <w:t>一</w:t>
      </w:r>
      <w:r>
        <w:rPr>
          <w:rStyle w:val="21"/>
          <w:rFonts w:hint="eastAsia" w:ascii="仿宋" w:hAnsi="仿宋" w:eastAsia="仿宋"/>
          <w:b w:val="0"/>
          <w:bCs w:val="0"/>
          <w:highlight w:val="none"/>
        </w:rPr>
        <w:t>般公共预算财政拨款基本支出决算表</w:t>
      </w:r>
      <w:bookmarkEnd w:id="79"/>
      <w:bookmarkEnd w:id="80"/>
    </w:p>
    <w:p>
      <w:pPr>
        <w:pStyle w:val="4"/>
        <w:rPr>
          <w:rFonts w:ascii="仿宋" w:hAnsi="仿宋" w:eastAsia="仿宋"/>
          <w:color w:val="000000"/>
          <w:highlight w:val="none"/>
        </w:rPr>
      </w:pPr>
      <w:bookmarkStart w:id="81" w:name="_Toc15396627"/>
      <w:bookmarkStart w:id="82" w:name="_Toc15170"/>
      <w:r>
        <w:rPr>
          <w:rStyle w:val="21"/>
          <w:rFonts w:hint="eastAsia" w:ascii="仿宋" w:hAnsi="仿宋" w:eastAsia="仿宋"/>
          <w:b w:val="0"/>
          <w:bCs w:val="0"/>
          <w:highlight w:val="none"/>
        </w:rPr>
        <w:t>九、</w:t>
      </w:r>
      <w:r>
        <w:rPr>
          <w:rFonts w:hint="eastAsia" w:ascii="仿宋" w:hAnsi="仿宋" w:eastAsia="仿宋"/>
          <w:b w:val="0"/>
          <w:color w:val="000000"/>
          <w:highlight w:val="none"/>
        </w:rPr>
        <w:t>一</w:t>
      </w:r>
      <w:r>
        <w:rPr>
          <w:rStyle w:val="21"/>
          <w:rFonts w:hint="eastAsia" w:ascii="仿宋" w:hAnsi="仿宋" w:eastAsia="仿宋"/>
          <w:b w:val="0"/>
          <w:bCs w:val="0"/>
          <w:highlight w:val="none"/>
        </w:rPr>
        <w:t>般公共预算财政拨款项目支出决算表</w:t>
      </w:r>
      <w:bookmarkEnd w:id="81"/>
      <w:bookmarkEnd w:id="82"/>
    </w:p>
    <w:p>
      <w:pPr>
        <w:pStyle w:val="4"/>
        <w:spacing w:line="360" w:lineRule="auto"/>
        <w:rPr>
          <w:rFonts w:ascii="仿宋" w:hAnsi="仿宋" w:eastAsia="仿宋"/>
          <w:color w:val="000000"/>
          <w:highlight w:val="none"/>
        </w:rPr>
      </w:pPr>
      <w:bookmarkStart w:id="83" w:name="_Toc17603"/>
      <w:bookmarkStart w:id="84" w:name="_Toc15396628"/>
      <w:r>
        <w:rPr>
          <w:rStyle w:val="21"/>
          <w:rFonts w:hint="eastAsia" w:ascii="仿宋" w:hAnsi="仿宋" w:eastAsia="仿宋"/>
          <w:b w:val="0"/>
          <w:bCs w:val="0"/>
          <w:highlight w:val="none"/>
        </w:rPr>
        <w:t>十、</w:t>
      </w:r>
      <w:r>
        <w:rPr>
          <w:rFonts w:hint="eastAsia" w:ascii="仿宋" w:hAnsi="仿宋" w:eastAsia="仿宋"/>
          <w:b w:val="0"/>
          <w:color w:val="000000"/>
          <w:highlight w:val="none"/>
        </w:rPr>
        <w:t>一</w:t>
      </w:r>
      <w:r>
        <w:rPr>
          <w:rStyle w:val="21"/>
          <w:rFonts w:hint="eastAsia" w:ascii="仿宋" w:hAnsi="仿宋" w:eastAsia="仿宋"/>
          <w:b w:val="0"/>
          <w:bCs w:val="0"/>
          <w:highlight w:val="none"/>
        </w:rPr>
        <w:t>般公共预算财政拨款“三公”经费支出决算表</w:t>
      </w:r>
      <w:bookmarkEnd w:id="83"/>
      <w:bookmarkEnd w:id="84"/>
    </w:p>
    <w:p>
      <w:pPr>
        <w:pStyle w:val="4"/>
        <w:spacing w:line="360" w:lineRule="auto"/>
        <w:rPr>
          <w:rFonts w:ascii="仿宋" w:hAnsi="仿宋" w:eastAsia="仿宋"/>
          <w:color w:val="000000"/>
          <w:highlight w:val="none"/>
        </w:rPr>
      </w:pPr>
      <w:bookmarkStart w:id="85" w:name="_Toc7313"/>
      <w:bookmarkStart w:id="86" w:name="_Toc15396629"/>
      <w:r>
        <w:rPr>
          <w:rStyle w:val="21"/>
          <w:rFonts w:hint="eastAsia" w:ascii="仿宋" w:hAnsi="仿宋" w:eastAsia="仿宋"/>
          <w:b w:val="0"/>
          <w:bCs w:val="0"/>
          <w:highlight w:val="none"/>
        </w:rPr>
        <w:t>十一、</w:t>
      </w:r>
      <w:r>
        <w:rPr>
          <w:rFonts w:hint="eastAsia" w:ascii="仿宋" w:hAnsi="仿宋" w:eastAsia="仿宋"/>
          <w:b w:val="0"/>
          <w:color w:val="000000"/>
          <w:highlight w:val="none"/>
        </w:rPr>
        <w:t>政</w:t>
      </w:r>
      <w:r>
        <w:rPr>
          <w:rStyle w:val="21"/>
          <w:rFonts w:hint="eastAsia" w:ascii="仿宋" w:hAnsi="仿宋" w:eastAsia="仿宋"/>
          <w:b w:val="0"/>
          <w:bCs w:val="0"/>
          <w:highlight w:val="none"/>
        </w:rPr>
        <w:t>府性基金预算财政拨款收入支出决算表</w:t>
      </w:r>
      <w:bookmarkEnd w:id="85"/>
      <w:bookmarkEnd w:id="86"/>
    </w:p>
    <w:p>
      <w:pPr>
        <w:pStyle w:val="4"/>
        <w:rPr>
          <w:rFonts w:ascii="仿宋" w:hAnsi="仿宋" w:eastAsia="仿宋"/>
          <w:b w:val="0"/>
          <w:color w:val="000000"/>
          <w:highlight w:val="none"/>
        </w:rPr>
      </w:pPr>
      <w:bookmarkStart w:id="87" w:name="_Toc9382"/>
      <w:bookmarkStart w:id="88" w:name="_Toc15396630"/>
      <w:r>
        <w:rPr>
          <w:rFonts w:hint="eastAsia" w:ascii="仿宋" w:hAnsi="仿宋" w:eastAsia="仿宋"/>
          <w:b w:val="0"/>
          <w:color w:val="000000"/>
          <w:highlight w:val="none"/>
        </w:rPr>
        <w:t>十二、政府性基金预算财政拨款“三公”经费支出决算表</w:t>
      </w:r>
      <w:bookmarkEnd w:id="87"/>
      <w:bookmarkEnd w:id="88"/>
    </w:p>
    <w:p>
      <w:pPr>
        <w:pStyle w:val="4"/>
        <w:rPr>
          <w:rFonts w:ascii="仿宋" w:hAnsi="仿宋" w:eastAsia="仿宋"/>
          <w:b w:val="0"/>
          <w:color w:val="000000"/>
          <w:highlight w:val="none"/>
        </w:rPr>
      </w:pPr>
      <w:bookmarkStart w:id="89" w:name="_Toc22683"/>
      <w:r>
        <w:rPr>
          <w:rFonts w:hint="eastAsia" w:ascii="仿宋" w:hAnsi="仿宋" w:eastAsia="仿宋"/>
          <w:b w:val="0"/>
          <w:color w:val="000000"/>
          <w:highlight w:val="none"/>
        </w:rPr>
        <w:t>十三、国有资本经营预算财政拨款收入支出决算表</w:t>
      </w:r>
      <w:bookmarkEnd w:id="89"/>
    </w:p>
    <w:p>
      <w:pPr>
        <w:pStyle w:val="4"/>
        <w:rPr>
          <w:rFonts w:ascii="仿宋" w:hAnsi="仿宋" w:eastAsia="仿宋"/>
          <w:b w:val="0"/>
          <w:color w:val="000000"/>
          <w:highlight w:val="none"/>
        </w:rPr>
      </w:pPr>
      <w:bookmarkStart w:id="90" w:name="_Toc10257"/>
      <w:r>
        <w:rPr>
          <w:rFonts w:hint="eastAsia" w:ascii="仿宋" w:hAnsi="仿宋" w:eastAsia="仿宋"/>
          <w:b w:val="0"/>
          <w:color w:val="000000"/>
          <w:highlight w:val="none"/>
        </w:rPr>
        <w:t>十四、国有资本经营预算财政拨款支出决算表</w:t>
      </w:r>
      <w:bookmarkEnd w:id="9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宋体-方正超大字符集"/>
    <w:panose1 w:val="03000509000000000000"/>
    <w:charset w:val="86"/>
    <w:family w:val="script"/>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853369"/>
    <w:multiLevelType w:val="singleLevel"/>
    <w:tmpl w:val="8A853369"/>
    <w:lvl w:ilvl="0" w:tentative="0">
      <w:start w:val="2"/>
      <w:numFmt w:val="decimal"/>
      <w:suff w:val="nothing"/>
      <w:lvlText w:val="%1．"/>
      <w:lvlJc w:val="left"/>
      <w:pPr>
        <w:ind w:left="-80"/>
      </w:pPr>
    </w:lvl>
  </w:abstractNum>
  <w:abstractNum w:abstractNumId="1">
    <w:nsid w:val="C6B79F6A"/>
    <w:multiLevelType w:val="singleLevel"/>
    <w:tmpl w:val="C6B79F6A"/>
    <w:lvl w:ilvl="0" w:tentative="0">
      <w:start w:val="2"/>
      <w:numFmt w:val="decimal"/>
      <w:lvlText w:val="%1."/>
      <w:lvlJc w:val="left"/>
      <w:pPr>
        <w:tabs>
          <w:tab w:val="left" w:pos="312"/>
        </w:tabs>
      </w:pPr>
    </w:lvl>
  </w:abstractNum>
  <w:abstractNum w:abstractNumId="2">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3">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4">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5">
    <w:nsid w:val="1894ED18"/>
    <w:multiLevelType w:val="singleLevel"/>
    <w:tmpl w:val="1894ED18"/>
    <w:lvl w:ilvl="0" w:tentative="0">
      <w:start w:val="2"/>
      <w:numFmt w:val="chineseCounting"/>
      <w:suff w:val="nothing"/>
      <w:lvlText w:val="%1、"/>
      <w:lvlJc w:val="left"/>
      <w:rPr>
        <w:rFonts w:hint="eastAsia"/>
      </w:rPr>
    </w:lvl>
  </w:abstractNum>
  <w:abstractNum w:abstractNumId="6">
    <w:nsid w:val="2BD92FCA"/>
    <w:multiLevelType w:val="singleLevel"/>
    <w:tmpl w:val="2BD92FCA"/>
    <w:lvl w:ilvl="0" w:tentative="0">
      <w:start w:val="1"/>
      <w:numFmt w:val="decimal"/>
      <w:lvlText w:val="%1."/>
      <w:lvlJc w:val="left"/>
      <w:pPr>
        <w:tabs>
          <w:tab w:val="left" w:pos="312"/>
        </w:tabs>
      </w:pPr>
    </w:lvl>
  </w:abstractNum>
  <w:abstractNum w:abstractNumId="7">
    <w:nsid w:val="7805C938"/>
    <w:multiLevelType w:val="singleLevel"/>
    <w:tmpl w:val="7805C938"/>
    <w:lvl w:ilvl="0" w:tentative="0">
      <w:start w:val="2"/>
      <w:numFmt w:val="chineseCounting"/>
      <w:suff w:val="nothing"/>
      <w:lvlText w:val="（%1）"/>
      <w:lvlJc w:val="left"/>
      <w:rPr>
        <w:rFonts w:hint="eastAsia"/>
      </w:rPr>
    </w:lvl>
  </w:abstractNum>
  <w:num w:numId="1">
    <w:abstractNumId w:val="5"/>
  </w:num>
  <w:num w:numId="2">
    <w:abstractNumId w:val="4"/>
  </w:num>
  <w:num w:numId="3">
    <w:abstractNumId w:val="2"/>
  </w:num>
  <w:num w:numId="4">
    <w:abstractNumId w:val="6"/>
  </w:num>
  <w:num w:numId="5">
    <w:abstractNumId w:val="3"/>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WEyZjhjMDljN2ZmZDI4MDM1OTczNmZkYWIwMTM0OGUifQ=="/>
  </w:docVars>
  <w:rsids>
    <w:rsidRoot w:val="6504078C"/>
    <w:rsid w:val="000B38A3"/>
    <w:rsid w:val="00214728"/>
    <w:rsid w:val="004E3855"/>
    <w:rsid w:val="00584A16"/>
    <w:rsid w:val="005A58B5"/>
    <w:rsid w:val="00766625"/>
    <w:rsid w:val="009F0976"/>
    <w:rsid w:val="00A7720C"/>
    <w:rsid w:val="00E74C94"/>
    <w:rsid w:val="02714448"/>
    <w:rsid w:val="02B0682B"/>
    <w:rsid w:val="034D668C"/>
    <w:rsid w:val="03C62F5E"/>
    <w:rsid w:val="05801BB0"/>
    <w:rsid w:val="06D96529"/>
    <w:rsid w:val="090E1FEA"/>
    <w:rsid w:val="09B27E23"/>
    <w:rsid w:val="0A16589F"/>
    <w:rsid w:val="0C25291F"/>
    <w:rsid w:val="0C2D26A7"/>
    <w:rsid w:val="0CF018AD"/>
    <w:rsid w:val="0D15325F"/>
    <w:rsid w:val="0DCC04C6"/>
    <w:rsid w:val="0F014606"/>
    <w:rsid w:val="0FE66A49"/>
    <w:rsid w:val="10667EBC"/>
    <w:rsid w:val="10E3272A"/>
    <w:rsid w:val="11211817"/>
    <w:rsid w:val="129A254D"/>
    <w:rsid w:val="13133BD5"/>
    <w:rsid w:val="1408349D"/>
    <w:rsid w:val="168256A2"/>
    <w:rsid w:val="17BA187B"/>
    <w:rsid w:val="187C4FE9"/>
    <w:rsid w:val="18C77E55"/>
    <w:rsid w:val="1B327DB5"/>
    <w:rsid w:val="1C077504"/>
    <w:rsid w:val="1C1D16F9"/>
    <w:rsid w:val="1D5915DF"/>
    <w:rsid w:val="1F252EA0"/>
    <w:rsid w:val="21700321"/>
    <w:rsid w:val="22053275"/>
    <w:rsid w:val="22403759"/>
    <w:rsid w:val="234E5B9C"/>
    <w:rsid w:val="23581DB6"/>
    <w:rsid w:val="28651671"/>
    <w:rsid w:val="28D3208C"/>
    <w:rsid w:val="29724875"/>
    <w:rsid w:val="29811D03"/>
    <w:rsid w:val="29CC307E"/>
    <w:rsid w:val="2AC65C17"/>
    <w:rsid w:val="2B385C89"/>
    <w:rsid w:val="2C514E13"/>
    <w:rsid w:val="2D861A60"/>
    <w:rsid w:val="2E2109A5"/>
    <w:rsid w:val="2F911D32"/>
    <w:rsid w:val="30FE7C91"/>
    <w:rsid w:val="32261043"/>
    <w:rsid w:val="326A5928"/>
    <w:rsid w:val="32C9468A"/>
    <w:rsid w:val="35631910"/>
    <w:rsid w:val="35C512C0"/>
    <w:rsid w:val="371021F8"/>
    <w:rsid w:val="37F77977"/>
    <w:rsid w:val="38DB7EEE"/>
    <w:rsid w:val="38F477CC"/>
    <w:rsid w:val="39E876AF"/>
    <w:rsid w:val="3A4402D7"/>
    <w:rsid w:val="3AB91A8B"/>
    <w:rsid w:val="3B786BA2"/>
    <w:rsid w:val="3BA01BDD"/>
    <w:rsid w:val="3BC4473D"/>
    <w:rsid w:val="3C9838E9"/>
    <w:rsid w:val="3E4169FF"/>
    <w:rsid w:val="3FA637F7"/>
    <w:rsid w:val="422F5AF4"/>
    <w:rsid w:val="42B31918"/>
    <w:rsid w:val="42F01F38"/>
    <w:rsid w:val="43410156"/>
    <w:rsid w:val="440D19E6"/>
    <w:rsid w:val="46E717AF"/>
    <w:rsid w:val="4810345B"/>
    <w:rsid w:val="488E0C19"/>
    <w:rsid w:val="49BD1186"/>
    <w:rsid w:val="4A096A0A"/>
    <w:rsid w:val="4A3708BA"/>
    <w:rsid w:val="4BDD7AF1"/>
    <w:rsid w:val="4E3A4862"/>
    <w:rsid w:val="4F36106E"/>
    <w:rsid w:val="4FFB2B66"/>
    <w:rsid w:val="50743E69"/>
    <w:rsid w:val="50D70814"/>
    <w:rsid w:val="51C002E1"/>
    <w:rsid w:val="528A43B2"/>
    <w:rsid w:val="534F4247"/>
    <w:rsid w:val="54562E8F"/>
    <w:rsid w:val="54971A65"/>
    <w:rsid w:val="55326F1B"/>
    <w:rsid w:val="58800D8E"/>
    <w:rsid w:val="5999333D"/>
    <w:rsid w:val="5B4A1413"/>
    <w:rsid w:val="5C33145E"/>
    <w:rsid w:val="5C5E6221"/>
    <w:rsid w:val="5D3E75DF"/>
    <w:rsid w:val="5D433A8B"/>
    <w:rsid w:val="5D471749"/>
    <w:rsid w:val="5FE931DC"/>
    <w:rsid w:val="600157B4"/>
    <w:rsid w:val="606A6C8F"/>
    <w:rsid w:val="615A778E"/>
    <w:rsid w:val="622C6273"/>
    <w:rsid w:val="62926FB5"/>
    <w:rsid w:val="6311004B"/>
    <w:rsid w:val="631C3638"/>
    <w:rsid w:val="64337103"/>
    <w:rsid w:val="64777888"/>
    <w:rsid w:val="64805E26"/>
    <w:rsid w:val="6504078C"/>
    <w:rsid w:val="66091AA0"/>
    <w:rsid w:val="66B9695A"/>
    <w:rsid w:val="67844860"/>
    <w:rsid w:val="68051F03"/>
    <w:rsid w:val="680D256B"/>
    <w:rsid w:val="6828101A"/>
    <w:rsid w:val="695535AB"/>
    <w:rsid w:val="69A240AD"/>
    <w:rsid w:val="69D275B9"/>
    <w:rsid w:val="6AA84245"/>
    <w:rsid w:val="6B553CAA"/>
    <w:rsid w:val="6BD23367"/>
    <w:rsid w:val="6BF0263F"/>
    <w:rsid w:val="6D666BC6"/>
    <w:rsid w:val="6E486CBC"/>
    <w:rsid w:val="6FB505CC"/>
    <w:rsid w:val="706A630D"/>
    <w:rsid w:val="708912FB"/>
    <w:rsid w:val="70B10262"/>
    <w:rsid w:val="70E91FCD"/>
    <w:rsid w:val="7192527E"/>
    <w:rsid w:val="726E3979"/>
    <w:rsid w:val="745C7020"/>
    <w:rsid w:val="74A306A1"/>
    <w:rsid w:val="79655030"/>
    <w:rsid w:val="799D5166"/>
    <w:rsid w:val="7B6F2EE0"/>
    <w:rsid w:val="7C876AD1"/>
    <w:rsid w:val="7CF35289"/>
    <w:rsid w:val="7EB6066D"/>
    <w:rsid w:val="7F7765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1"/>
    <w:unhideWhenUsed/>
    <w:qFormat/>
    <w:uiPriority w:val="9"/>
    <w:pPr>
      <w:keepNext/>
      <w:keepLines/>
      <w:spacing w:before="260" w:after="260" w:line="416" w:lineRule="auto"/>
      <w:outlineLvl w:val="1"/>
    </w:pPr>
    <w:rPr>
      <w:rFonts w:ascii="Cambria" w:hAnsi="Cambria"/>
      <w:b/>
      <w:bCs/>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oc 5"/>
    <w:basedOn w:val="1"/>
    <w:next w:val="1"/>
    <w:qFormat/>
    <w:uiPriority w:val="0"/>
    <w:pPr>
      <w:ind w:left="1680" w:leftChars="800"/>
    </w:pPr>
  </w:style>
  <w:style w:type="paragraph" w:styleId="5">
    <w:name w:val="annotation text"/>
    <w:basedOn w:val="1"/>
    <w:unhideWhenUsed/>
    <w:qFormat/>
    <w:uiPriority w:val="99"/>
    <w:pPr>
      <w:jc w:val="left"/>
    </w:pPr>
    <w:rPr>
      <w:rFonts w:ascii="Calibri" w:hAnsi="Calibri" w:eastAsia="宋体"/>
      <w:sz w:val="21"/>
      <w:szCs w:val="22"/>
    </w:rPr>
  </w:style>
  <w:style w:type="paragraph" w:styleId="6">
    <w:name w:val="Body Text"/>
    <w:basedOn w:val="1"/>
    <w:qFormat/>
    <w:uiPriority w:val="99"/>
    <w:pPr>
      <w:spacing w:beforeLines="30"/>
    </w:pPr>
    <w:rPr>
      <w:rFonts w:ascii="仿宋_GB2312"/>
      <w:kern w:val="0"/>
      <w:sz w:val="24"/>
      <w:szCs w:val="20"/>
    </w:rPr>
  </w:style>
  <w:style w:type="paragraph" w:styleId="7">
    <w:name w:val="Body Text Indent"/>
    <w:basedOn w:val="1"/>
    <w:qFormat/>
    <w:uiPriority w:val="0"/>
    <w:pPr>
      <w:spacing w:after="120"/>
      <w:ind w:left="420" w:leftChars="200"/>
    </w:pPr>
  </w:style>
  <w:style w:type="paragraph" w:styleId="8">
    <w:name w:val="Balloon Text"/>
    <w:basedOn w:val="1"/>
    <w:link w:val="25"/>
    <w:qFormat/>
    <w:uiPriority w:val="0"/>
    <w:rPr>
      <w:sz w:val="18"/>
      <w:szCs w:val="18"/>
    </w:rPr>
  </w:style>
  <w:style w:type="paragraph" w:styleId="9">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10">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11">
    <w:name w:val="toc 1"/>
    <w:basedOn w:val="1"/>
    <w:next w:val="1"/>
    <w:unhideWhenUsed/>
    <w:qFormat/>
    <w:uiPriority w:val="39"/>
    <w:pPr>
      <w:spacing w:before="120"/>
      <w:jc w:val="left"/>
    </w:pPr>
    <w:rPr>
      <w:rFonts w:ascii="等线" w:eastAsia="等线"/>
      <w:b/>
      <w:bCs/>
      <w:i/>
      <w:iCs/>
      <w:sz w:val="24"/>
    </w:rPr>
  </w:style>
  <w:style w:type="paragraph" w:styleId="12">
    <w:name w:val="toc 2"/>
    <w:basedOn w:val="1"/>
    <w:next w:val="1"/>
    <w:unhideWhenUsed/>
    <w:qFormat/>
    <w:uiPriority w:val="39"/>
    <w:pPr>
      <w:spacing w:before="120"/>
      <w:ind w:left="300"/>
      <w:jc w:val="left"/>
    </w:pPr>
    <w:rPr>
      <w:rFonts w:ascii="等线" w:eastAsia="等线"/>
      <w:b/>
      <w:bCs/>
      <w:sz w:val="22"/>
      <w:szCs w:val="22"/>
    </w:rPr>
  </w:style>
  <w:style w:type="paragraph" w:styleId="13">
    <w:name w:val="Normal (Web)"/>
    <w:basedOn w:val="1"/>
    <w:qFormat/>
    <w:uiPriority w:val="0"/>
    <w:pPr>
      <w:spacing w:beforeAutospacing="1" w:afterAutospacing="1"/>
      <w:jc w:val="left"/>
    </w:pPr>
    <w:rPr>
      <w:kern w:val="0"/>
      <w:sz w:val="24"/>
    </w:rPr>
  </w:style>
  <w:style w:type="paragraph" w:styleId="14">
    <w:name w:val="Body Text First Indent 2"/>
    <w:basedOn w:val="7"/>
    <w:qFormat/>
    <w:uiPriority w:val="0"/>
    <w:pPr>
      <w:ind w:firstLine="420" w:firstLine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99"/>
    <w:rPr>
      <w:rFonts w:cs="Times New Roman"/>
      <w:b/>
    </w:rPr>
  </w:style>
  <w:style w:type="character" w:styleId="19">
    <w:name w:val="Hyperlink"/>
    <w:unhideWhenUsed/>
    <w:qFormat/>
    <w:uiPriority w:val="99"/>
    <w:rPr>
      <w:color w:val="0000FF"/>
      <w:u w:val="single"/>
    </w:rPr>
  </w:style>
  <w:style w:type="character" w:customStyle="1" w:styleId="20">
    <w:name w:val="标题 1 Char"/>
    <w:basedOn w:val="17"/>
    <w:link w:val="3"/>
    <w:qFormat/>
    <w:locked/>
    <w:uiPriority w:val="9"/>
    <w:rPr>
      <w:b/>
      <w:bCs/>
      <w:kern w:val="44"/>
      <w:sz w:val="44"/>
      <w:szCs w:val="44"/>
    </w:rPr>
  </w:style>
  <w:style w:type="character" w:customStyle="1" w:styleId="21">
    <w:name w:val="标题 2 Char"/>
    <w:basedOn w:val="17"/>
    <w:link w:val="4"/>
    <w:qFormat/>
    <w:locked/>
    <w:uiPriority w:val="9"/>
    <w:rPr>
      <w:rFonts w:ascii="Cambria" w:hAnsi="Cambria"/>
      <w:b/>
      <w:bCs/>
      <w:sz w:val="32"/>
      <w:szCs w:val="32"/>
    </w:rPr>
  </w:style>
  <w:style w:type="paragraph" w:customStyle="1" w:styleId="22">
    <w:name w:val="列出段落1"/>
    <w:basedOn w:val="1"/>
    <w:qFormat/>
    <w:uiPriority w:val="34"/>
    <w:pPr>
      <w:ind w:firstLine="420" w:firstLineChars="200"/>
    </w:pPr>
  </w:style>
  <w:style w:type="paragraph" w:customStyle="1" w:styleId="23">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customStyle="1" w:styleId="24">
    <w:name w:val="样式-1"/>
    <w:basedOn w:val="1"/>
    <w:qFormat/>
    <w:uiPriority w:val="0"/>
    <w:pPr>
      <w:adjustRightInd w:val="0"/>
      <w:spacing w:line="520" w:lineRule="atLeast"/>
      <w:textAlignment w:val="baseline"/>
    </w:pPr>
    <w:rPr>
      <w:rFonts w:eastAsia="楷体_GB2312"/>
      <w:kern w:val="0"/>
      <w:szCs w:val="20"/>
    </w:rPr>
  </w:style>
  <w:style w:type="character" w:customStyle="1" w:styleId="25">
    <w:name w:val="批注框文本 Char"/>
    <w:basedOn w:val="17"/>
    <w:link w:val="8"/>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rwrw\Desktop\&#26032;&#24314;%20XLS%20&#24037;&#20316;&#34920;%20(2).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24037;&#20316;&#31807;3"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收、支决算总计变动情况图</a:t>
            </a:r>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[工作簿1]Sheet1!$A$1:$A$2</c:f>
              <c:strCache>
                <c:ptCount val="2"/>
                <c:pt idx="0">
                  <c:v>2020年度收、支总计</c:v>
                </c:pt>
                <c:pt idx="1">
                  <c:v>2019年度收、支总计</c:v>
                </c:pt>
              </c:strCache>
            </c:strRef>
          </c:cat>
          <c:val>
            <c:numRef>
              <c:f>[工作簿1]Sheet1!$B$1:$B$2</c:f>
              <c:numCache>
                <c:formatCode>General</c:formatCode>
                <c:ptCount val="2"/>
                <c:pt idx="0">
                  <c:v>1904.59</c:v>
                </c:pt>
                <c:pt idx="1">
                  <c:v>1958.38</c:v>
                </c:pt>
              </c:numCache>
            </c:numRef>
          </c:val>
        </c:ser>
        <c:dLbls>
          <c:showLegendKey val="0"/>
          <c:showVal val="1"/>
          <c:showCatName val="0"/>
          <c:showSerName val="0"/>
          <c:showPercent val="0"/>
          <c:showBubbleSize val="0"/>
        </c:dLbls>
        <c:gapWidth val="219"/>
        <c:overlap val="-27"/>
        <c:axId val="285985215"/>
        <c:axId val="947902671"/>
      </c:barChart>
      <c:catAx>
        <c:axId val="285985215"/>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47902671"/>
        <c:crosses val="autoZero"/>
        <c:auto val="1"/>
        <c:lblAlgn val="ctr"/>
        <c:lblOffset val="100"/>
        <c:noMultiLvlLbl val="0"/>
      </c:catAx>
      <c:valAx>
        <c:axId val="94790267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85985215"/>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收入决算结构图</a:t>
            </a:r>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rPr lang="en-US" altLang="zh-CN"/>
                      <a:t>958.95</a:t>
                    </a:r>
                    <a:endParaRPr lang="en-US" altLang="zh-CN"/>
                  </a:p>
                </c:rich>
              </c:tx>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'[新建 XLS 工作表 (2).xls]Sheet1'!$A$23:$A$28</c:f>
              <c:strCache>
                <c:ptCount val="6"/>
                <c:pt idx="0">
                  <c:v>一般公共预算财政拨款收入</c:v>
                </c:pt>
                <c:pt idx="1">
                  <c:v>政府性基金预算财政拨款收入</c:v>
                </c:pt>
                <c:pt idx="2">
                  <c:v>上级补助收入</c:v>
                </c:pt>
                <c:pt idx="3">
                  <c:v>事业收入</c:v>
                </c:pt>
                <c:pt idx="4">
                  <c:v>经营收入</c:v>
                </c:pt>
                <c:pt idx="5">
                  <c:v>附属单位上缴收入</c:v>
                </c:pt>
              </c:strCache>
            </c:strRef>
          </c:cat>
          <c:val>
            <c:numRef>
              <c:f>'[新建 XLS 工作表 (2).xls]Sheet1'!$B$23:$B$28</c:f>
              <c:numCache>
                <c:formatCode>General</c:formatCode>
                <c:ptCount val="6"/>
                <c:pt idx="0">
                  <c:v>979.19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支出决算结构图</a:t>
            </a:r>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[工作簿1]Sheet1!$A$1:$A$5</c:f>
              <c:strCache>
                <c:ptCount val="5"/>
                <c:pt idx="0">
                  <c:v>基本支出</c:v>
                </c:pt>
                <c:pt idx="1">
                  <c:v>项目支出</c:v>
                </c:pt>
                <c:pt idx="2">
                  <c:v>上缴上级支出</c:v>
                </c:pt>
                <c:pt idx="3">
                  <c:v>经营支出</c:v>
                </c:pt>
                <c:pt idx="4">
                  <c:v>对附属单位补助支出</c:v>
                </c:pt>
              </c:strCache>
            </c:strRef>
          </c:cat>
          <c:val>
            <c:numRef>
              <c:f>[工作簿1]Sheet1!$B$1:$B$5</c:f>
              <c:numCache>
                <c:formatCode>General</c:formatCode>
                <c:ptCount val="5"/>
                <c:pt idx="0">
                  <c:v>945.64</c:v>
                </c:pt>
                <c:pt idx="1">
                  <c:v>0</c:v>
                </c:pt>
                <c:pt idx="2">
                  <c:v>0</c:v>
                </c:pt>
                <c:pt idx="3">
                  <c:v>0</c:v>
                </c:pt>
                <c:pt idx="4">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财政拨款收、支决算总计变动情况</a:t>
            </a:r>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[工作簿1]Sheet1!$A$1:$A$2</c:f>
              <c:strCache>
                <c:ptCount val="2"/>
                <c:pt idx="0">
                  <c:v>2020年财政拨款收、支总计</c:v>
                </c:pt>
                <c:pt idx="1">
                  <c:v>2019年财政拨款收、支总计</c:v>
                </c:pt>
              </c:strCache>
            </c:strRef>
          </c:cat>
          <c:val>
            <c:numRef>
              <c:f>[工作簿1]Sheet1!$B$1:$B$2</c:f>
              <c:numCache>
                <c:formatCode>General</c:formatCode>
                <c:ptCount val="2"/>
                <c:pt idx="0">
                  <c:v>1904.59</c:v>
                </c:pt>
                <c:pt idx="1">
                  <c:v>1958.38</c:v>
                </c:pt>
              </c:numCache>
            </c:numRef>
          </c:val>
        </c:ser>
        <c:dLbls>
          <c:showLegendKey val="0"/>
          <c:showVal val="1"/>
          <c:showCatName val="0"/>
          <c:showSerName val="0"/>
          <c:showPercent val="0"/>
          <c:showBubbleSize val="0"/>
        </c:dLbls>
        <c:gapWidth val="219"/>
        <c:overlap val="-27"/>
        <c:axId val="285985215"/>
        <c:axId val="947902671"/>
      </c:barChart>
      <c:catAx>
        <c:axId val="285985215"/>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47902671"/>
        <c:crosses val="autoZero"/>
        <c:auto val="1"/>
        <c:lblAlgn val="ctr"/>
        <c:lblOffset val="100"/>
        <c:noMultiLvlLbl val="0"/>
      </c:catAx>
      <c:valAx>
        <c:axId val="94790267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85985215"/>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一般公共预算财政拨款支出决算结构</a:t>
            </a:r>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[工作簿3]Sheet1!$A$1:$A$7</c:f>
              <c:strCache>
                <c:ptCount val="7"/>
                <c:pt idx="0">
                  <c:v>一般公共服务（类）支出</c:v>
                </c:pt>
                <c:pt idx="1">
                  <c:v>教育支出（类）</c:v>
                </c:pt>
                <c:pt idx="2">
                  <c:v>科学技术（类）支出</c:v>
                </c:pt>
                <c:pt idx="3">
                  <c:v>文化旅游体育与传媒（类）支出</c:v>
                </c:pt>
                <c:pt idx="4">
                  <c:v>社会保障和就业（类）支出</c:v>
                </c:pt>
                <c:pt idx="5">
                  <c:v>卫生健康支出</c:v>
                </c:pt>
                <c:pt idx="6">
                  <c:v>住房保障支出</c:v>
                </c:pt>
              </c:strCache>
            </c:strRef>
          </c:cat>
          <c:val>
            <c:numRef>
              <c:f>[工作簿3]Sheet1!$B$1:$B$7</c:f>
              <c:numCache>
                <c:formatCode>General</c:formatCode>
                <c:ptCount val="7"/>
                <c:pt idx="0">
                  <c:v>859.26</c:v>
                </c:pt>
                <c:pt idx="1">
                  <c:v>0</c:v>
                </c:pt>
                <c:pt idx="2">
                  <c:v>0</c:v>
                </c:pt>
                <c:pt idx="3">
                  <c:v>0</c:v>
                </c:pt>
                <c:pt idx="4">
                  <c:v>44.75</c:v>
                </c:pt>
                <c:pt idx="5">
                  <c:v>16.25</c:v>
                </c:pt>
                <c:pt idx="6">
                  <c:v>25.39</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“三公”经费财政拨款支出结构</a:t>
            </a:r>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[工作簿1]Sheet1!$A$1:$A$2</c:f>
              <c:strCache>
                <c:ptCount val="2"/>
                <c:pt idx="0">
                  <c:v>公务用车购置及运行维护费支出</c:v>
                </c:pt>
                <c:pt idx="1">
                  <c:v>公务接待费支出决算</c:v>
                </c:pt>
              </c:strCache>
            </c:strRef>
          </c:cat>
          <c:val>
            <c:numRef>
              <c:f>[工作簿1]Sheet1!$B$1:$B$2</c:f>
              <c:numCache>
                <c:formatCode>General</c:formatCode>
                <c:ptCount val="2"/>
                <c:pt idx="0">
                  <c:v>3.58</c:v>
                </c:pt>
                <c:pt idx="1">
                  <c:v>0.16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56</Pages>
  <Words>22562</Words>
  <Characters>23757</Characters>
  <Lines>195</Lines>
  <Paragraphs>55</Paragraphs>
  <TotalTime>1</TotalTime>
  <ScaleCrop>false</ScaleCrop>
  <LinksUpToDate>false</LinksUpToDate>
  <CharactersWithSpaces>23893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cp:lastPrinted>2021-10-20T02:47:00Z</cp:lastPrinted>
  <dcterms:modified xsi:type="dcterms:W3CDTF">2022-05-30T03:17:15Z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6F24D79844C943E7917F1B92E62697E3</vt:lpwstr>
  </property>
</Properties>
</file>