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0" w:line="180" w:lineRule="auto"/>
        <w:ind w:right="1132"/>
        <w:rPr>
          <w:rFonts w:hint="default" w:ascii="Times New Roman" w:hAnsi="Times New Roman" w:cs="Times New Roman"/>
          <w:i w:val="0"/>
          <w:iCs/>
        </w:rPr>
      </w:pPr>
      <w:bookmarkStart w:id="0" w:name="_Toc4948"/>
      <w:r>
        <w:rPr>
          <w:rFonts w:hint="default" w:ascii="Times New Roman" w:hAnsi="Times New Roman" w:cs="Times New Roman"/>
          <w:i w:val="0"/>
          <w:iCs/>
        </w:rPr>
        <w:t>中国共产党四川省自贡市自流井区委员会2020 年度部门决算编制的说明</w:t>
      </w:r>
      <w:bookmarkEnd w:id="0"/>
    </w:p>
    <w:p>
      <w:pPr>
        <w:pStyle w:val="5"/>
        <w:spacing w:before="12"/>
        <w:ind w:left="0"/>
        <w:rPr>
          <w:rFonts w:ascii="方正小标宋简体"/>
          <w:i/>
        </w:rPr>
      </w:pPr>
    </w:p>
    <w:p>
      <w:pPr>
        <w:spacing w:before="0"/>
        <w:ind w:left="1131" w:right="1131" w:firstLine="0"/>
        <w:jc w:val="center"/>
        <w:rPr>
          <w:rFonts w:hint="eastAsia" w:ascii="黑体" w:eastAsia="黑体"/>
          <w:sz w:val="44"/>
        </w:rPr>
      </w:pPr>
      <w:r>
        <w:rPr>
          <w:rFonts w:hint="eastAsia" w:ascii="黑体" w:eastAsia="黑体"/>
          <w:sz w:val="44"/>
        </w:rPr>
        <w:t>目录</w:t>
      </w:r>
    </w:p>
    <w:sdt>
      <w:sdtPr>
        <w:rPr>
          <w:rFonts w:ascii="宋体" w:hAnsi="宋体" w:eastAsia="宋体" w:cs="仿宋_GB2312"/>
          <w:sz w:val="21"/>
          <w:szCs w:val="22"/>
          <w:lang w:val="zh-CN" w:eastAsia="zh-CN" w:bidi="zh-CN"/>
        </w:rPr>
        <w:id w:val="147462566"/>
        <w15:color w:val="DBDBDB"/>
        <w:docPartObj>
          <w:docPartGallery w:val="Table of Contents"/>
          <w:docPartUnique/>
        </w:docPartObj>
      </w:sdtPr>
      <w:sdtEndPr>
        <w:rPr>
          <w:rFonts w:hint="eastAsia" w:ascii="仿宋" w:hAnsi="仿宋" w:eastAsia="仿宋" w:cs="仿宋"/>
          <w:sz w:val="32"/>
          <w:szCs w:val="32"/>
          <w:lang w:val="zh-CN" w:eastAsia="zh-CN" w:bidi="zh-CN"/>
        </w:rPr>
      </w:sdtEndPr>
      <w:sdtContent>
        <w:p>
          <w:pPr>
            <w:spacing w:before="0" w:beforeLines="0" w:after="0" w:afterLines="0" w:line="240" w:lineRule="auto"/>
            <w:ind w:left="0" w:leftChars="0" w:right="0" w:rightChars="0" w:firstLine="0" w:firstLineChars="0"/>
            <w:jc w:val="center"/>
          </w:pPr>
        </w:p>
        <w:p>
          <w:pPr>
            <w:pStyle w:val="16"/>
            <w:tabs>
              <w:tab w:val="right" w:pos="2800"/>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"1-3" \h \u </w:instrText>
          </w:r>
          <w:r>
            <w:rPr>
              <w:rFonts w:hint="eastAsia" w:ascii="仿宋" w:hAnsi="仿宋" w:eastAsia="仿宋" w:cs="仿宋"/>
              <w:sz w:val="32"/>
              <w:szCs w:val="32"/>
            </w:rPr>
            <w:fldChar w:fldCharType="separate"/>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_Toc8340 </w:instrText>
          </w:r>
          <w:r>
            <w:rPr>
              <w:rFonts w:hint="eastAsia" w:ascii="仿宋" w:hAnsi="仿宋" w:eastAsia="仿宋" w:cs="仿宋"/>
              <w:sz w:val="32"/>
              <w:szCs w:val="32"/>
            </w:rPr>
            <w:fldChar w:fldCharType="separate"/>
          </w:r>
          <w:r>
            <w:rPr>
              <w:rFonts w:hint="eastAsia" w:ascii="仿宋" w:hAnsi="仿宋" w:eastAsia="仿宋" w:cs="仿宋"/>
              <w:sz w:val="32"/>
              <w:szCs w:val="32"/>
            </w:rPr>
            <w:t>第一部分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部门概况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_Toc8340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_Toc23610 </w:instrText>
          </w:r>
          <w:r>
            <w:rPr>
              <w:rFonts w:hint="eastAsia" w:ascii="仿宋" w:hAnsi="仿宋" w:eastAsia="仿宋" w:cs="仿宋"/>
              <w:sz w:val="32"/>
              <w:szCs w:val="32"/>
            </w:rPr>
            <w:fldChar w:fldCharType="separate"/>
          </w:r>
          <w:r>
            <w:rPr>
              <w:rFonts w:hint="eastAsia" w:ascii="仿宋" w:hAnsi="仿宋" w:eastAsia="仿宋" w:cs="仿宋"/>
              <w:sz w:val="32"/>
              <w:szCs w:val="32"/>
            </w:rPr>
            <w:t>一、基本职能及主要工作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_Toc23610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_Toc428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_Toc428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_Toc19999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第二部分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2020年度部门决算情况说明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_Toc19999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_Toc3103 </w:instrText>
          </w:r>
          <w:r>
            <w:rPr>
              <w:rFonts w:hint="eastAsia" w:ascii="仿宋" w:hAnsi="仿宋" w:eastAsia="仿宋" w:cs="仿宋"/>
              <w:sz w:val="32"/>
              <w:szCs w:val="32"/>
            </w:rPr>
            <w:fldChar w:fldCharType="separate"/>
          </w:r>
          <w:r>
            <w:rPr>
              <w:rFonts w:hint="eastAsia" w:ascii="仿宋" w:hAnsi="仿宋" w:eastAsia="仿宋" w:cs="仿宋"/>
              <w:sz w:val="32"/>
              <w:szCs w:val="32"/>
            </w:rPr>
            <w:t>一、 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_Toc3103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_Toc3778 </w:instrText>
          </w:r>
          <w:r>
            <w:rPr>
              <w:rFonts w:hint="eastAsia" w:ascii="仿宋" w:hAnsi="仿宋" w:eastAsia="仿宋" w:cs="仿宋"/>
              <w:sz w:val="32"/>
              <w:szCs w:val="32"/>
            </w:rPr>
            <w:fldChar w:fldCharType="separate"/>
          </w:r>
          <w:r>
            <w:rPr>
              <w:rFonts w:hint="eastAsia" w:ascii="仿宋" w:hAnsi="仿宋" w:eastAsia="仿宋" w:cs="仿宋"/>
              <w:sz w:val="32"/>
              <w:szCs w:val="32"/>
            </w:rPr>
            <w:t>二、 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_Toc3778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_Toc7396 </w:instrText>
          </w:r>
          <w:r>
            <w:rPr>
              <w:rFonts w:hint="eastAsia" w:ascii="仿宋" w:hAnsi="仿宋" w:eastAsia="仿宋" w:cs="仿宋"/>
              <w:sz w:val="32"/>
              <w:szCs w:val="32"/>
            </w:rPr>
            <w:fldChar w:fldCharType="separate"/>
          </w:r>
          <w:r>
            <w:rPr>
              <w:rFonts w:hint="eastAsia" w:ascii="仿宋" w:hAnsi="仿宋" w:eastAsia="仿宋" w:cs="仿宋"/>
              <w:sz w:val="32"/>
              <w:szCs w:val="32"/>
            </w:rPr>
            <w:t>三、 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_Toc7396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_Toc3218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财政拨款收入支出决算总体情况说</w:t>
          </w:r>
          <w:r>
            <w:rPr>
              <w:rFonts w:hint="eastAsia" w:ascii="仿宋" w:hAnsi="仿宋" w:eastAsia="仿宋" w:cs="仿宋"/>
              <w:sz w:val="32"/>
              <w:szCs w:val="32"/>
              <w:lang w:eastAsia="zh-CN"/>
            </w:rPr>
            <w:t>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_Toc6842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_Toc6842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_Toc5719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_Toc5719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_Toc14386 </w:instrText>
          </w:r>
          <w:r>
            <w:rPr>
              <w:rFonts w:hint="eastAsia" w:ascii="仿宋" w:hAnsi="仿宋" w:eastAsia="仿宋" w:cs="仿宋"/>
              <w:sz w:val="32"/>
              <w:szCs w:val="32"/>
            </w:rPr>
            <w:fldChar w:fldCharType="separate"/>
          </w:r>
          <w:r>
            <w:rPr>
              <w:rFonts w:hint="eastAsia" w:ascii="仿宋" w:hAnsi="仿宋" w:eastAsia="仿宋" w:cs="仿宋"/>
              <w:sz w:val="32"/>
              <w:szCs w:val="32"/>
              <w:lang w:val="zh-CN" w:eastAsia="zh-CN"/>
            </w:rPr>
            <w:t>七、“三公”经费财政拨款支出决算情况说明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_Toc14386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_Toc16317 </w:instrText>
          </w:r>
          <w:r>
            <w:rPr>
              <w:rFonts w:hint="eastAsia" w:ascii="仿宋" w:hAnsi="仿宋" w:eastAsia="仿宋" w:cs="仿宋"/>
              <w:sz w:val="32"/>
              <w:szCs w:val="32"/>
            </w:rPr>
            <w:fldChar w:fldCharType="separate"/>
          </w:r>
          <w:r>
            <w:rPr>
              <w:rFonts w:hint="eastAsia" w:ascii="仿宋" w:hAnsi="仿宋" w:eastAsia="仿宋" w:cs="仿宋"/>
              <w:sz w:val="32"/>
              <w:szCs w:val="32"/>
            </w:rPr>
            <w:t>八、政府性基金预算支出决算情况说明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_Toc16317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_Toc8247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国有资本经营预算支出决算情况说明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_Toc8247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_Toc7723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十、其他重要事项的情况说明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_Toc7723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_Toc30741 </w:instrText>
          </w:r>
          <w:r>
            <w:rPr>
              <w:rFonts w:hint="eastAsia" w:ascii="仿宋" w:hAnsi="仿宋" w:eastAsia="仿宋" w:cs="仿宋"/>
              <w:sz w:val="32"/>
              <w:szCs w:val="32"/>
            </w:rPr>
            <w:fldChar w:fldCharType="separate"/>
          </w:r>
          <w:r>
            <w:rPr>
              <w:rFonts w:hint="eastAsia" w:ascii="仿宋" w:hAnsi="仿宋" w:eastAsia="仿宋" w:cs="仿宋"/>
              <w:sz w:val="32"/>
              <w:szCs w:val="32"/>
            </w:rPr>
            <w:t>第三部分 名词解释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_Toc30741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_Toc6457 </w:instrText>
          </w:r>
          <w:r>
            <w:rPr>
              <w:rFonts w:hint="eastAsia" w:ascii="仿宋" w:hAnsi="仿宋" w:eastAsia="仿宋" w:cs="仿宋"/>
              <w:sz w:val="32"/>
              <w:szCs w:val="32"/>
            </w:rPr>
            <w:fldChar w:fldCharType="separate"/>
          </w:r>
          <w:r>
            <w:rPr>
              <w:rFonts w:hint="eastAsia" w:ascii="仿宋" w:hAnsi="仿宋" w:eastAsia="仿宋" w:cs="仿宋"/>
              <w:i w:val="0"/>
              <w:iCs/>
              <w:sz w:val="32"/>
              <w:szCs w:val="32"/>
              <w:lang w:val="zh-CN" w:eastAsia="zh-CN" w:bidi="zh-CN"/>
            </w:rPr>
            <w:t>第四部分附件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_Toc6457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_Toc27287 </w:instrText>
          </w:r>
          <w:r>
            <w:rPr>
              <w:rFonts w:hint="eastAsia" w:ascii="仿宋" w:hAnsi="仿宋" w:eastAsia="仿宋" w:cs="仿宋"/>
              <w:sz w:val="32"/>
              <w:szCs w:val="32"/>
            </w:rPr>
            <w:fldChar w:fldCharType="separate"/>
          </w:r>
          <w:r>
            <w:rPr>
              <w:rFonts w:hint="eastAsia" w:ascii="仿宋" w:hAnsi="仿宋" w:eastAsia="仿宋" w:cs="仿宋"/>
              <w:i w:val="0"/>
              <w:iCs/>
              <w:sz w:val="32"/>
              <w:szCs w:val="32"/>
              <w:lang w:val="zh-CN" w:eastAsia="zh-CN" w:bidi="zh-CN"/>
            </w:rPr>
            <w:t>附件</w:t>
          </w:r>
          <w:r>
            <w:rPr>
              <w:rFonts w:hint="eastAsia" w:ascii="仿宋" w:hAnsi="仿宋" w:eastAsia="仿宋" w:cs="仿宋"/>
              <w:i w:val="0"/>
              <w:iCs/>
              <w:sz w:val="32"/>
              <w:szCs w:val="32"/>
              <w:lang w:val="en-US" w:eastAsia="zh-CN" w:bidi="zh-CN"/>
            </w:rPr>
            <w:t>1</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_Toc27287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_Toc21452 </w:instrText>
          </w:r>
          <w:r>
            <w:rPr>
              <w:rFonts w:hint="eastAsia" w:ascii="仿宋" w:hAnsi="仿宋" w:eastAsia="仿宋" w:cs="仿宋"/>
              <w:sz w:val="32"/>
              <w:szCs w:val="32"/>
            </w:rPr>
            <w:fldChar w:fldCharType="separate"/>
          </w:r>
          <w:r>
            <w:rPr>
              <w:rFonts w:hint="eastAsia" w:ascii="仿宋" w:hAnsi="仿宋" w:eastAsia="仿宋" w:cs="仿宋"/>
              <w:sz w:val="32"/>
              <w:szCs w:val="32"/>
            </w:rPr>
            <w:t>第五部分附表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_Toc21452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_Toc19760 </w:instrText>
          </w:r>
          <w:r>
            <w:rPr>
              <w:rFonts w:hint="eastAsia" w:ascii="仿宋" w:hAnsi="仿宋" w:eastAsia="仿宋" w:cs="仿宋"/>
              <w:sz w:val="32"/>
              <w:szCs w:val="32"/>
            </w:rPr>
            <w:fldChar w:fldCharType="separate"/>
          </w:r>
          <w:r>
            <w:rPr>
              <w:rFonts w:hint="eastAsia" w:ascii="仿宋" w:hAnsi="仿宋" w:eastAsia="仿宋" w:cs="仿宋"/>
              <w:spacing w:val="-2"/>
              <w:sz w:val="32"/>
              <w:szCs w:val="32"/>
            </w:rPr>
            <w:t>一、 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_Toc19760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_Toc6951 </w:instrText>
          </w:r>
          <w:r>
            <w:rPr>
              <w:rFonts w:hint="eastAsia" w:ascii="仿宋" w:hAnsi="仿宋" w:eastAsia="仿宋" w:cs="仿宋"/>
              <w:sz w:val="32"/>
              <w:szCs w:val="32"/>
            </w:rPr>
            <w:fldChar w:fldCharType="separate"/>
          </w:r>
          <w:r>
            <w:rPr>
              <w:rFonts w:hint="eastAsia" w:ascii="仿宋" w:hAnsi="仿宋" w:eastAsia="仿宋" w:cs="仿宋"/>
              <w:sz w:val="32"/>
              <w:szCs w:val="32"/>
            </w:rPr>
            <w:t>二、收入决算表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_Toc6951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_Toc14157 </w:instrText>
          </w:r>
          <w:r>
            <w:rPr>
              <w:rFonts w:hint="eastAsia" w:ascii="仿宋" w:hAnsi="仿宋" w:eastAsia="仿宋" w:cs="仿宋"/>
              <w:sz w:val="32"/>
              <w:szCs w:val="32"/>
            </w:rPr>
            <w:fldChar w:fldCharType="separate"/>
          </w:r>
          <w:r>
            <w:rPr>
              <w:rFonts w:hint="eastAsia" w:ascii="仿宋" w:hAnsi="仿宋" w:eastAsia="仿宋" w:cs="仿宋"/>
              <w:sz w:val="32"/>
              <w:szCs w:val="32"/>
            </w:rPr>
            <w:t>三、支出决算表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_Toc14157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_Toc29551 </w:instrText>
          </w:r>
          <w:r>
            <w:rPr>
              <w:rFonts w:hint="eastAsia" w:ascii="仿宋" w:hAnsi="仿宋" w:eastAsia="仿宋" w:cs="仿宋"/>
              <w:sz w:val="32"/>
              <w:szCs w:val="32"/>
            </w:rPr>
            <w:fldChar w:fldCharType="separate"/>
          </w:r>
          <w:r>
            <w:rPr>
              <w:rFonts w:hint="eastAsia" w:ascii="仿宋" w:hAnsi="仿宋" w:eastAsia="仿宋" w:cs="仿宋"/>
              <w:sz w:val="32"/>
              <w:szCs w:val="32"/>
            </w:rPr>
            <w:t>四、财政拨款收入支出决算总表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_Toc29551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_Toc25912 </w:instrText>
          </w:r>
          <w:r>
            <w:rPr>
              <w:rFonts w:hint="eastAsia" w:ascii="仿宋" w:hAnsi="仿宋" w:eastAsia="仿宋" w:cs="仿宋"/>
              <w:sz w:val="32"/>
              <w:szCs w:val="32"/>
            </w:rPr>
            <w:fldChar w:fldCharType="separate"/>
          </w:r>
          <w:r>
            <w:rPr>
              <w:rFonts w:hint="eastAsia" w:ascii="仿宋" w:hAnsi="仿宋" w:eastAsia="仿宋" w:cs="仿宋"/>
              <w:sz w:val="32"/>
              <w:szCs w:val="32"/>
            </w:rPr>
            <w:t>五、财政拨款支出决算明细表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_Toc21884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_Toc21884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_Toc19269 </w:instrText>
          </w:r>
          <w:r>
            <w:rPr>
              <w:rFonts w:hint="eastAsia" w:ascii="仿宋" w:hAnsi="仿宋" w:eastAsia="仿宋" w:cs="仿宋"/>
              <w:sz w:val="32"/>
              <w:szCs w:val="32"/>
            </w:rPr>
            <w:fldChar w:fldCharType="separate"/>
          </w:r>
          <w:r>
            <w:rPr>
              <w:rFonts w:hint="eastAsia" w:ascii="仿宋" w:hAnsi="仿宋" w:eastAsia="仿宋" w:cs="仿宋"/>
              <w:sz w:val="32"/>
              <w:szCs w:val="32"/>
            </w:rPr>
            <w:t>七、一般公共预算财政拨款支出决算明细表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_Toc19269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_Toc4066 </w:instrText>
          </w:r>
          <w:r>
            <w:rPr>
              <w:rFonts w:hint="eastAsia" w:ascii="仿宋" w:hAnsi="仿宋" w:eastAsia="仿宋" w:cs="仿宋"/>
              <w:sz w:val="32"/>
              <w:szCs w:val="32"/>
            </w:rPr>
            <w:fldChar w:fldCharType="separate"/>
          </w:r>
          <w:r>
            <w:rPr>
              <w:rFonts w:hint="eastAsia" w:ascii="仿宋" w:hAnsi="仿宋" w:eastAsia="仿宋" w:cs="仿宋"/>
              <w:sz w:val="32"/>
              <w:szCs w:val="32"/>
            </w:rPr>
            <w:t>八、一般公共预算财政拨款基本支出决算表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_Toc4066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_Toc8977 </w:instrText>
          </w:r>
          <w:r>
            <w:rPr>
              <w:rFonts w:hint="eastAsia" w:ascii="仿宋" w:hAnsi="仿宋" w:eastAsia="仿宋" w:cs="仿宋"/>
              <w:sz w:val="32"/>
              <w:szCs w:val="32"/>
            </w:rPr>
            <w:fldChar w:fldCharType="separate"/>
          </w:r>
          <w:r>
            <w:rPr>
              <w:rFonts w:hint="eastAsia" w:ascii="仿宋" w:hAnsi="仿宋" w:eastAsia="仿宋" w:cs="仿宋"/>
              <w:sz w:val="32"/>
              <w:szCs w:val="32"/>
            </w:rPr>
            <w:t>九、一般公共预算财政拨款项目支出决算表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_Toc8977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_Toc3484 </w:instrText>
          </w:r>
          <w:r>
            <w:rPr>
              <w:rFonts w:hint="eastAsia" w:ascii="仿宋" w:hAnsi="仿宋" w:eastAsia="仿宋" w:cs="仿宋"/>
              <w:sz w:val="32"/>
              <w:szCs w:val="32"/>
            </w:rPr>
            <w:fldChar w:fldCharType="separate"/>
          </w:r>
          <w:r>
            <w:rPr>
              <w:rFonts w:hint="eastAsia" w:ascii="仿宋" w:hAnsi="仿宋" w:eastAsia="仿宋" w:cs="仿宋"/>
              <w:sz w:val="32"/>
              <w:szCs w:val="32"/>
            </w:rPr>
            <w:t>十、一般公共预算财政拨款“三公”经费支出决算表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_Toc3484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_Toc19492 </w:instrText>
          </w:r>
          <w:r>
            <w:rPr>
              <w:rFonts w:hint="eastAsia" w:ascii="仿宋" w:hAnsi="仿宋" w:eastAsia="仿宋" w:cs="仿宋"/>
              <w:sz w:val="32"/>
              <w:szCs w:val="32"/>
            </w:rPr>
            <w:fldChar w:fldCharType="separate"/>
          </w:r>
          <w:r>
            <w:rPr>
              <w:rFonts w:hint="eastAsia" w:ascii="仿宋" w:hAnsi="仿宋" w:eastAsia="仿宋" w:cs="仿宋"/>
              <w:sz w:val="32"/>
              <w:szCs w:val="32"/>
            </w:rPr>
            <w:t>十一、政府性基金预算财政拨款收入支出决算表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_Toc19492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_Toc5826 </w:instrText>
          </w:r>
          <w:r>
            <w:rPr>
              <w:rFonts w:hint="eastAsia" w:ascii="仿宋" w:hAnsi="仿宋" w:eastAsia="仿宋" w:cs="仿宋"/>
              <w:sz w:val="32"/>
              <w:szCs w:val="32"/>
            </w:rPr>
            <w:fldChar w:fldCharType="separate"/>
          </w:r>
          <w:r>
            <w:rPr>
              <w:rFonts w:hint="eastAsia" w:ascii="仿宋" w:hAnsi="仿宋" w:eastAsia="仿宋" w:cs="仿宋"/>
              <w:sz w:val="32"/>
              <w:szCs w:val="32"/>
            </w:rPr>
            <w:t>十二、政府性基金预算财政拨款“三公”经费支出决算表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_Toc5826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_Toc25140 </w:instrText>
          </w:r>
          <w:r>
            <w:rPr>
              <w:rFonts w:hint="eastAsia" w:ascii="仿宋" w:hAnsi="仿宋" w:eastAsia="仿宋" w:cs="仿宋"/>
              <w:sz w:val="32"/>
              <w:szCs w:val="32"/>
            </w:rPr>
            <w:fldChar w:fldCharType="separate"/>
          </w:r>
          <w:r>
            <w:rPr>
              <w:rFonts w:hint="eastAsia" w:ascii="仿宋" w:hAnsi="仿宋" w:eastAsia="仿宋" w:cs="仿宋"/>
              <w:sz w:val="32"/>
              <w:szCs w:val="32"/>
            </w:rPr>
            <w:t>十三、国有资本经营预算财政拨款收入支出决算表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_Toc25140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_Toc1067 </w:instrText>
          </w:r>
          <w:r>
            <w:rPr>
              <w:rFonts w:hint="eastAsia" w:ascii="仿宋" w:hAnsi="仿宋" w:eastAsia="仿宋" w:cs="仿宋"/>
              <w:sz w:val="32"/>
              <w:szCs w:val="32"/>
            </w:rPr>
            <w:fldChar w:fldCharType="separate"/>
          </w:r>
          <w:r>
            <w:rPr>
              <w:rFonts w:hint="eastAsia" w:ascii="仿宋" w:hAnsi="仿宋" w:eastAsia="仿宋" w:cs="仿宋"/>
              <w:sz w:val="32"/>
              <w:szCs w:val="32"/>
            </w:rPr>
            <w:t>十四、国有资本经营预算财政拨款支出决算表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_Toc1067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spacing w:after="0"/>
            <w:rPr>
              <w:rFonts w:hint="eastAsia" w:ascii="仿宋" w:hAnsi="仿宋" w:eastAsia="仿宋" w:cs="仿宋"/>
              <w:sz w:val="32"/>
              <w:szCs w:val="32"/>
            </w:rPr>
          </w:pPr>
          <w:r>
            <w:rPr>
              <w:rFonts w:hint="eastAsia" w:ascii="仿宋" w:hAnsi="仿宋" w:eastAsia="仿宋" w:cs="仿宋"/>
              <w:sz w:val="32"/>
              <w:szCs w:val="32"/>
            </w:rPr>
            <w:fldChar w:fldCharType="end"/>
          </w:r>
        </w:p>
      </w:sdtContent>
    </w:sdt>
    <w:p>
      <w:pPr>
        <w:bidi w:val="0"/>
        <w:rPr>
          <w:rFonts w:ascii="仿宋_GB2312" w:hAnsi="仿宋_GB2312" w:eastAsia="仿宋_GB2312" w:cs="仿宋_GB2312"/>
          <w:sz w:val="22"/>
          <w:szCs w:val="22"/>
          <w:lang w:val="zh-CN" w:eastAsia="zh-CN" w:bidi="zh-CN"/>
        </w:rPr>
      </w:pPr>
    </w:p>
    <w:p>
      <w:pPr>
        <w:spacing w:after="0"/>
        <w:jc w:val="left"/>
        <w:rPr>
          <w:sz w:val="28"/>
        </w:rPr>
        <w:sectPr>
          <w:footerReference r:id="rId5" w:type="default"/>
          <w:pgSz w:w="11910" w:h="16840"/>
          <w:pgMar w:top="1520" w:right="860" w:bottom="1380" w:left="860" w:header="0" w:footer="664" w:gutter="0"/>
          <w:pgNumType w:fmt="decimal"/>
          <w:cols w:space="720" w:num="1"/>
        </w:sectPr>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outlineLvl w:val="0"/>
        <w:rPr>
          <w:rFonts w:ascii="黑体"/>
          <w:sz w:val="44"/>
        </w:rPr>
      </w:pPr>
      <w:bookmarkStart w:id="1" w:name="第一部分部门概况"/>
      <w:bookmarkEnd w:id="1"/>
      <w:bookmarkStart w:id="2" w:name="_Toc8340"/>
      <w:r>
        <w:t>第一部分</w:t>
      </w:r>
      <w:r>
        <w:rPr>
          <w:rFonts w:hint="eastAsia"/>
          <w:lang w:val="en-US" w:eastAsia="zh-CN"/>
        </w:rPr>
        <w:t xml:space="preserve"> </w:t>
      </w:r>
      <w:r>
        <w:t>部门概况</w:t>
      </w:r>
      <w:bookmarkEnd w:id="2"/>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outlineLvl w:val="1"/>
        <w:rPr>
          <w:rFonts w:ascii="黑体"/>
          <w:sz w:val="30"/>
        </w:rPr>
      </w:pPr>
      <w:bookmarkStart w:id="3" w:name="一、基本职能及主要工作"/>
      <w:bookmarkEnd w:id="3"/>
      <w:bookmarkStart w:id="4" w:name="_Toc23610"/>
      <w:r>
        <w:rPr>
          <w:rFonts w:hint="eastAsia" w:ascii="黑体" w:eastAsia="黑体"/>
        </w:rPr>
        <w:t>一、基本职能及主要工作</w:t>
      </w:r>
      <w:bookmarkEnd w:id="4"/>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outlineLvl w:val="2"/>
        <w:rPr>
          <w:rFonts w:hint="eastAsia" w:ascii="楷体_GB2312" w:hAnsi="楷体_GB2312" w:eastAsia="楷体_GB2312" w:cs="楷体_GB2312"/>
          <w:b/>
          <w:bCs/>
        </w:rPr>
      </w:pPr>
      <w:bookmarkStart w:id="5" w:name="_Toc6933"/>
      <w:r>
        <w:rPr>
          <w:rFonts w:hint="eastAsia" w:ascii="楷体_GB2312" w:hAnsi="楷体_GB2312" w:eastAsia="楷体_GB2312" w:cs="楷体_GB2312"/>
          <w:b/>
          <w:bCs/>
        </w:rPr>
        <w:t>（一）主要职能。</w:t>
      </w:r>
      <w:bookmarkEnd w:id="5"/>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jc w:val="both"/>
        <w:textAlignment w:val="auto"/>
      </w:pPr>
      <w:r>
        <w:t>围绕市委、区委工作部署，开展调查研究，综合分析处理各种信息，为区委决策提供依据或提出建议、意见组织或参与制度区委有关政策、措施及规章制度，起草或组织起草区委综合性工作报告，负责区委重要文件、文稿的修改、把关工作；督促检查中央、省，市、区委重要工作部署的贯彻落实情况，负责中央、省委、市委文件的收发、传递工作，负责文、电、信件，管理档案和机要通讯工作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3" w:firstLineChars="200"/>
        <w:textAlignment w:val="auto"/>
        <w:outlineLvl w:val="2"/>
        <w:rPr>
          <w:rFonts w:hint="default" w:ascii="Times New Roman" w:hAnsi="Times New Roman" w:eastAsia="楷体_GB2312" w:cs="Times New Roman"/>
          <w:b/>
          <w:bCs/>
        </w:rPr>
      </w:pPr>
      <w:bookmarkStart w:id="6" w:name="_Toc18640"/>
      <w:r>
        <w:rPr>
          <w:rFonts w:hint="default" w:ascii="Times New Roman" w:hAnsi="Times New Roman" w:eastAsia="楷体_GB2312" w:cs="Times New Roman"/>
          <w:b/>
          <w:bCs/>
        </w:rPr>
        <w:t>（二）2020 年重点工作完成情况。</w:t>
      </w:r>
      <w:bookmarkEnd w:id="6"/>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pPr>
      <w:r>
        <w:t>充分发挥综合协调作用，促进各项工作高效运转。以提高办文水平、办会质量、办事效率为目标，从党委的中心任务出发，精心组织，周密安排，保证上下之间、部门之间、工作之间的有机联系、合理衔接。主动加强联系，搞好区委与上级、与政府、人大、政协之间、与部门之间的协调，形成齐抓共管的合力。同时，办公室坚持统筹兼顾，圆满完成了其他政务工作。</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textAlignment w:val="auto"/>
        <w:rPr>
          <w:spacing w:val="-2"/>
        </w:rPr>
      </w:pPr>
      <w:r>
        <w:rPr>
          <w:spacing w:val="-2"/>
        </w:rPr>
        <w:t>立</w:t>
      </w:r>
      <w:r>
        <w:t>足制度创新，不断改进工作方法，工作效率和工作水平实现了新的提升。推进资源共享，创设区委文档管理系统，尽可能让每一位成员都能掌握第一手资料；制定激励措施，鼓励突</w:t>
      </w:r>
      <w:r>
        <w:rPr>
          <w:spacing w:val="-10"/>
        </w:rPr>
        <w:t>破常规、独辟蹊径，推动办公室文稿质量迈上了新</w:t>
      </w:r>
      <w:r>
        <w:rPr>
          <w:rFonts w:hint="eastAsia"/>
          <w:spacing w:val="-10"/>
          <w:lang w:eastAsia="zh-CN"/>
        </w:rPr>
        <w:t>的台阶。</w:t>
      </w:r>
      <w:r>
        <w:rPr>
          <w:spacing w:val="-3"/>
        </w:rPr>
        <w:t>坚持以人为本，注重提高办公室整体工作水平和服务质量，着力建设一支政治强、业务精、作风硬的工作队伍。积</w:t>
      </w:r>
      <w:r>
        <w:rPr>
          <w:spacing w:val="-14"/>
        </w:rPr>
        <w:t>极参与社区共建、困难党员结对活动。结合“挂帮包”活动，</w:t>
      </w:r>
      <w:r>
        <w:rPr>
          <w:spacing w:val="-2"/>
        </w:rPr>
        <w:t>办公室结对帮扶困难党员，全年多次走访慰问帮扶对象，给予经济物质上的资助。</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7" w:name="_Toc428"/>
      <w:r>
        <w:rPr>
          <w:rFonts w:hint="eastAsia" w:ascii="黑体" w:eastAsia="黑体"/>
        </w:rPr>
        <w:t>二、机构设置</w:t>
      </w:r>
      <w:bookmarkEnd w:id="7"/>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lang w:eastAsia="zh-CN"/>
        </w:rPr>
      </w:pPr>
      <w:r>
        <w:rPr>
          <w:rFonts w:hint="default" w:ascii="Times New Roman" w:hAnsi="Times New Roman" w:cs="Times New Roman"/>
          <w:spacing w:val="-3"/>
        </w:rPr>
        <w:t>中共自贡市自流井区委员会办公室下属二级单位1个（含主管局本级），其中行政单位0个，参照公务员法管理的事业单位0个，其他事业单位1个。纳入中共自贡市自流井区委员会办公室 2019 年度部门决算编制范围的二级预算单位包括：党政网管理中心。</w:t>
      </w:r>
    </w:p>
    <w:p>
      <w:pPr>
        <w:pStyle w:val="2"/>
        <w:keepNext w:val="0"/>
        <w:keepLines w:val="0"/>
        <w:pageBreakBefore w:val="0"/>
        <w:widowControl w:val="0"/>
        <w:tabs>
          <w:tab w:val="left" w:pos="595"/>
        </w:tabs>
        <w:kinsoku/>
        <w:wordWrap/>
        <w:overflowPunct/>
        <w:topLinePunct w:val="0"/>
        <w:autoSpaceDE w:val="0"/>
        <w:autoSpaceDN w:val="0"/>
        <w:bidi w:val="0"/>
        <w:adjustRightInd/>
        <w:snapToGrid/>
        <w:spacing w:before="0" w:line="592" w:lineRule="exact"/>
        <w:ind w:left="0" w:leftChars="0" w:right="0" w:firstLine="0" w:firstLineChars="0"/>
        <w:jc w:val="center"/>
        <w:textAlignment w:val="auto"/>
        <w:outlineLvl w:val="0"/>
        <w:rPr>
          <w:rFonts w:hint="default" w:ascii="Times New Roman" w:hAnsi="Times New Roman" w:cs="Times New Roman"/>
        </w:rPr>
      </w:pPr>
      <w:bookmarkStart w:id="8" w:name="_Toc19999"/>
      <w:r>
        <w:rPr>
          <w:rFonts w:hint="default" w:ascii="Times New Roman" w:hAnsi="Times New Roman" w:cs="Times New Roman"/>
          <w:lang w:eastAsia="zh-CN"/>
        </w:rPr>
        <w:t>第二部分</w:t>
      </w:r>
      <w:r>
        <w:rPr>
          <w:rFonts w:hint="eastAsia" w:ascii="Times New Roman" w:hAnsi="Times New Roman" w:cs="Times New Roman"/>
          <w:lang w:val="en-US" w:eastAsia="zh-CN"/>
        </w:rPr>
        <w:t xml:space="preserve"> </w:t>
      </w:r>
      <w:r>
        <w:rPr>
          <w:rFonts w:hint="default" w:ascii="Times New Roman" w:hAnsi="Times New Roman" w:cs="Times New Roman"/>
        </w:rPr>
        <w:t>2020年度部门决算情况说明</w:t>
      </w:r>
      <w:bookmarkEnd w:id="8"/>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outlineLvl w:val="1"/>
        <w:rPr>
          <w:rFonts w:hint="eastAsia" w:ascii="黑体" w:eastAsia="黑体"/>
        </w:rPr>
      </w:pPr>
      <w:bookmarkStart w:id="9" w:name="_Toc3103"/>
      <w:r>
        <w:rPr>
          <w:rFonts w:hint="eastAsia" w:ascii="黑体" w:eastAsia="黑体"/>
        </w:rPr>
        <w:t>一、 收入支出决算总体情况说明</w:t>
      </w:r>
      <w:bookmarkEnd w:id="9"/>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3"/>
        </w:rPr>
      </w:pPr>
      <w:r>
        <w:rPr>
          <w:rFonts w:hint="default" w:ascii="Times New Roman" w:hAnsi="Times New Roman" w:cs="Times New Roman"/>
        </w:rPr>
        <w:drawing>
          <wp:anchor distT="0" distB="0" distL="0" distR="0" simplePos="0" relativeHeight="251662336" behindDoc="0" locked="0" layoutInCell="1" allowOverlap="1">
            <wp:simplePos x="0" y="0"/>
            <wp:positionH relativeFrom="page">
              <wp:posOffset>1381125</wp:posOffset>
            </wp:positionH>
            <wp:positionV relativeFrom="page">
              <wp:posOffset>7524750</wp:posOffset>
            </wp:positionV>
            <wp:extent cx="4854575" cy="1781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4854311" cy="1781548"/>
                    </a:xfrm>
                    <a:prstGeom prst="rect">
                      <a:avLst/>
                    </a:prstGeom>
                  </pic:spPr>
                </pic:pic>
              </a:graphicData>
            </a:graphic>
          </wp:anchor>
        </w:drawing>
      </w:r>
      <w:r>
        <w:rPr>
          <w:rFonts w:hint="default" w:ascii="Times New Roman" w:hAnsi="Times New Roman" w:cs="Times New Roman"/>
          <w:spacing w:val="-3"/>
        </w:rPr>
        <w:t>2020年度收入总计489.42万元，与 2019 年收入总计464.43万元相比，收入增加24.99万元，增长5.38%</w:t>
      </w:r>
      <w:r>
        <w:rPr>
          <w:rFonts w:hint="default" w:ascii="Times New Roman" w:hAnsi="Times New Roman" w:cs="Times New Roman"/>
          <w:spacing w:val="-3"/>
          <w:lang w:eastAsia="zh-CN"/>
        </w:rPr>
        <w:t>；</w:t>
      </w:r>
      <w:r>
        <w:rPr>
          <w:rFonts w:hint="default" w:ascii="Times New Roman" w:hAnsi="Times New Roman" w:cs="Times New Roman"/>
          <w:spacing w:val="-3"/>
        </w:rPr>
        <w:t>2020年度支出总计489.42万元，与2019年支出464.43万元相比，支出增加24.99万元，增长5.38%。主要变动原因是增加工作人员2名，增加了人员支出。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3"/>
        </w:rPr>
        <w:sectPr>
          <w:footerReference r:id="rId6" w:type="default"/>
          <w:pgSz w:w="11910" w:h="16840"/>
          <w:pgMar w:top="2154" w:right="1417" w:bottom="2041" w:left="1531" w:header="0" w:footer="664" w:gutter="0"/>
          <w:pgNumType w:fmt="decimal"/>
          <w:cols w:space="720" w:num="1"/>
        </w:sect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default" w:ascii="Times New Roman" w:hAnsi="Times New Roman" w:cs="Times New Roman"/>
          <w:spacing w:val="-3"/>
        </w:rPr>
      </w:pPr>
      <w:r>
        <w:rPr>
          <w:rFonts w:hint="default" w:ascii="Times New Roman" w:hAnsi="Times New Roman" w:cs="Times New Roman"/>
          <w:spacing w:val="-3"/>
        </w:rPr>
        <w:t>（图1：收、支决算总计变动情况图）（柱状图）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left="0" w:leftChars="0" w:right="0" w:rightChars="0" w:firstLine="640" w:firstLineChars="200"/>
        <w:textAlignment w:val="auto"/>
        <w:outlineLvl w:val="1"/>
        <w:rPr>
          <w:rFonts w:hint="eastAsia" w:ascii="黑体" w:eastAsia="黑体"/>
        </w:rPr>
      </w:pPr>
      <w:bookmarkStart w:id="10" w:name="_Toc3778"/>
      <w:r>
        <w:rPr>
          <w:rFonts w:hint="eastAsia" w:ascii="黑体" w:eastAsia="黑体"/>
        </w:rPr>
        <w:t>二、 收入决算情况说明</w:t>
      </w:r>
      <w:bookmarkEnd w:id="10"/>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hint="default" w:ascii="Times New Roman" w:hAnsi="Times New Roman" w:cs="Times New Roman"/>
          <w:spacing w:val="-3"/>
        </w:rPr>
      </w:pPr>
      <w:r>
        <w:rPr>
          <w:rFonts w:hint="default" w:ascii="Times New Roman" w:hAnsi="Times New Roman" w:cs="Times New Roman"/>
          <w:spacing w:val="-3"/>
        </w:rPr>
        <w:t>2020年本年收入合计483.4万元，其中：一般公共预算财政拨款收入483.4万元，占100%；政府性基金预算财政拨款收入0万元，占0%；上级补助收入0万元，占0%；事业收入0万元，占0%；经营收入0万元，占0%；附属单位上缴收入0万元，占0%；其他收入0万元，占0%。</w:t>
      </w:r>
    </w:p>
    <w:p>
      <w:pPr>
        <w:pStyle w:val="5"/>
        <w:ind w:left="1397"/>
        <w:rPr>
          <w:rFonts w:ascii="微软雅黑"/>
          <w:sz w:val="20"/>
        </w:rPr>
      </w:pPr>
      <w:r>
        <w:rPr>
          <w:rFonts w:ascii="微软雅黑"/>
          <w:sz w:val="20"/>
        </w:rPr>
        <w:drawing>
          <wp:anchor distT="0" distB="0" distL="0" distR="0" simplePos="0" relativeHeight="251664384" behindDoc="0" locked="0" layoutInCell="1" allowOverlap="1">
            <wp:simplePos x="0" y="0"/>
            <wp:positionH relativeFrom="column">
              <wp:posOffset>525145</wp:posOffset>
            </wp:positionH>
            <wp:positionV relativeFrom="paragraph">
              <wp:posOffset>171450</wp:posOffset>
            </wp:positionV>
            <wp:extent cx="4893945" cy="1487170"/>
            <wp:effectExtent l="0" t="0" r="1905" b="1778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1" cstate="print"/>
                    <a:stretch>
                      <a:fillRect/>
                    </a:stretch>
                  </pic:blipFill>
                  <pic:spPr>
                    <a:xfrm>
                      <a:off x="0" y="0"/>
                      <a:ext cx="4894118" cy="1487424"/>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right="777"/>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right="777"/>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both"/>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rPr>
          <w:rFonts w:hint="eastAsia"/>
          <w:spacing w:val="-3"/>
        </w:rPr>
      </w:pPr>
      <w:r>
        <w:rPr>
          <w:rFonts w:hint="eastAsia" w:ascii="Times New Roman" w:hAnsi="Times New Roman" w:cs="Times New Roman"/>
          <w:spacing w:val="-3"/>
        </w:rPr>
        <w:t>（图2：收入决算结构图）</w:t>
      </w:r>
      <w:r>
        <w:rPr>
          <w:rFonts w:hint="eastAsia"/>
          <w:spacing w:val="-3"/>
        </w:rPr>
        <w:t>（饼状图）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left="0" w:leftChars="0" w:right="0" w:rightChars="0" w:firstLine="640" w:firstLineChars="200"/>
        <w:textAlignment w:val="auto"/>
        <w:outlineLvl w:val="1"/>
        <w:rPr>
          <w:rFonts w:hint="eastAsia" w:ascii="黑体" w:eastAsia="黑体"/>
        </w:rPr>
      </w:pPr>
      <w:bookmarkStart w:id="11" w:name="_Toc7396"/>
      <w:r>
        <w:rPr>
          <w:rFonts w:hint="eastAsia" w:ascii="黑体" w:eastAsia="黑体"/>
        </w:rPr>
        <w:t>三、 支出决算情况说明</w:t>
      </w:r>
      <w:bookmarkEnd w:id="11"/>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ascii="微软雅黑"/>
          <w:sz w:val="20"/>
        </w:rPr>
      </w:pPr>
      <w:bookmarkStart w:id="12" w:name="2020年本年支出合计479.44万元，其中：基本支出479.44万元，占100"/>
      <w:bookmarkEnd w:id="12"/>
      <w:r>
        <w:rPr>
          <w:rFonts w:hint="eastAsia" w:ascii="Times New Roman" w:hAnsi="Times New Roman" w:cs="Times New Roman"/>
          <w:spacing w:val="-3"/>
        </w:rPr>
        <w:t>2020年本年支出合计479.44万元，其中：基本支出</w:t>
      </w:r>
      <w:r>
        <w:rPr>
          <w:rFonts w:hint="eastAsia" w:ascii="Times New Roman" w:hAnsi="Times New Roman" w:cs="Times New Roman"/>
          <w:spacing w:val="-3"/>
          <w:lang w:val="en-US" w:eastAsia="zh-CN"/>
        </w:rPr>
        <w:t>479.44</w:t>
      </w:r>
      <w:r>
        <w:rPr>
          <w:rFonts w:hint="eastAsia" w:ascii="Times New Roman" w:hAnsi="Times New Roman" w:cs="Times New Roman"/>
          <w:spacing w:val="-3"/>
        </w:rPr>
        <w:t>万元，占100%；项目支出0万元，占0%；上缴上级支出0万元，占0%；经营支出0万元，占0%；对附属单位补助支出0万元，占0%。</w:t>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r>
        <w:rPr>
          <w:rFonts w:ascii="微软雅黑"/>
          <w:sz w:val="20"/>
        </w:rPr>
        <w:drawing>
          <wp:anchor distT="0" distB="0" distL="0" distR="0" simplePos="0" relativeHeight="251665408" behindDoc="0" locked="0" layoutInCell="1" allowOverlap="1">
            <wp:simplePos x="0" y="0"/>
            <wp:positionH relativeFrom="column">
              <wp:posOffset>448945</wp:posOffset>
            </wp:positionH>
            <wp:positionV relativeFrom="paragraph">
              <wp:posOffset>44450</wp:posOffset>
            </wp:positionV>
            <wp:extent cx="4804410" cy="153289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2" cstate="print"/>
                    <a:stretch>
                      <a:fillRect/>
                    </a:stretch>
                  </pic:blipFill>
                  <pic:spPr>
                    <a:xfrm>
                      <a:off x="0" y="0"/>
                      <a:ext cx="4804737" cy="1533144"/>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eastAsia"/>
          <w:spacing w:val="-3"/>
        </w:rPr>
      </w:pPr>
      <w:r>
        <w:rPr>
          <w:rFonts w:hint="eastAsia" w:ascii="Times New Roman" w:hAnsi="Times New Roman" w:cs="Times New Roman"/>
          <w:spacing w:val="-3"/>
        </w:rPr>
        <w:t>（图3：支出决算结构图）</w:t>
      </w:r>
      <w:r>
        <w:rPr>
          <w:rFonts w:hint="eastAsia"/>
          <w:spacing w:val="-3"/>
        </w:rPr>
        <w:t>（饼状图）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eastAsia="黑体"/>
          <w:lang w:eastAsia="zh-CN"/>
        </w:rPr>
      </w:pPr>
      <w:bookmarkStart w:id="13" w:name="四、财政拨款收入支出决算总体情况说明"/>
      <w:bookmarkEnd w:id="13"/>
      <w:bookmarkStart w:id="14" w:name="_Toc3218"/>
      <w:r>
        <w:rPr>
          <w:rFonts w:hint="eastAsia" w:ascii="黑体" w:eastAsia="黑体"/>
          <w:lang w:eastAsia="zh-CN"/>
        </w:rPr>
        <w:t>四、</w:t>
      </w:r>
      <w:r>
        <w:rPr>
          <w:rFonts w:hint="eastAsia" w:ascii="黑体" w:eastAsia="黑体"/>
        </w:rPr>
        <w:t>财政拨款收入支出决算总体情况说</w:t>
      </w:r>
      <w:r>
        <w:rPr>
          <w:rFonts w:hint="eastAsia" w:ascii="黑体" w:eastAsia="黑体"/>
          <w:lang w:eastAsia="zh-CN"/>
        </w:rPr>
        <w:t>明</w:t>
      </w:r>
      <w:bookmarkEnd w:id="14"/>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jc w:val="both"/>
        <w:textAlignment w:val="auto"/>
        <w:rPr>
          <w:rFonts w:hint="eastAsia" w:ascii="Times New Roman" w:hAnsi="Times New Roman" w:cs="Times New Roman"/>
          <w:spacing w:val="-3"/>
        </w:rPr>
      </w:pPr>
      <w:r>
        <w:rPr>
          <w:rFonts w:hint="eastAsia" w:ascii="Times New Roman" w:hAnsi="Times New Roman" w:cs="Times New Roman"/>
          <w:spacing w:val="-3"/>
        </w:rPr>
        <w:t>2020年度财政拨款收入总计489.42万元，与2019年财政拨款收入总计464.43万元相比，收入增加24.99万元，增长5.38%；2020年度财政拨款支出总计489.42万元，与2019年财政拨款支出464.43万元相比，支出增加24.99万元，增长5.38%。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rPr>
          <w:rFonts w:hint="eastAsia"/>
          <w:spacing w:val="-3"/>
        </w:rPr>
      </w:pPr>
      <w:r>
        <w:rPr>
          <w:rFonts w:hint="eastAsia" w:ascii="Times New Roman" w:hAnsi="Times New Roman" w:cs="Times New Roman"/>
          <w:spacing w:val="-3"/>
        </w:rPr>
        <w:drawing>
          <wp:anchor distT="0" distB="0" distL="0" distR="0" simplePos="0" relativeHeight="251659264" behindDoc="0" locked="0" layoutInCell="1" allowOverlap="1">
            <wp:simplePos x="0" y="0"/>
            <wp:positionH relativeFrom="page">
              <wp:posOffset>1336040</wp:posOffset>
            </wp:positionH>
            <wp:positionV relativeFrom="paragraph">
              <wp:posOffset>117475</wp:posOffset>
            </wp:positionV>
            <wp:extent cx="4874260" cy="177990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3" cstate="print"/>
                    <a:stretch>
                      <a:fillRect/>
                    </a:stretch>
                  </pic:blipFill>
                  <pic:spPr>
                    <a:xfrm>
                      <a:off x="0" y="0"/>
                      <a:ext cx="4874552" cy="1780031"/>
                    </a:xfrm>
                    <a:prstGeom prst="rect">
                      <a:avLst/>
                    </a:prstGeom>
                  </pic:spPr>
                </pic:pic>
              </a:graphicData>
            </a:graphic>
          </wp:anchor>
        </w:drawing>
      </w:r>
      <w:r>
        <w:rPr>
          <w:rFonts w:hint="eastAsia" w:ascii="Times New Roman" w:hAnsi="Times New Roman" w:cs="Times New Roman"/>
          <w:spacing w:val="-3"/>
        </w:rPr>
        <w:t>（图4：财政拨款收、支决算总计变动情</w:t>
      </w:r>
      <w:r>
        <w:rPr>
          <w:rFonts w:hint="eastAsia"/>
          <w:spacing w:val="-3"/>
        </w:rPr>
        <w:t>况）（柱状图）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eastAsia="黑体"/>
          <w:lang w:eastAsia="zh-CN"/>
        </w:rPr>
      </w:pPr>
      <w:bookmarkStart w:id="15" w:name="五、一般公共预算财政拨款支出决算情况说明"/>
      <w:bookmarkEnd w:id="15"/>
      <w:bookmarkStart w:id="16" w:name="_Toc6842"/>
      <w:r>
        <w:rPr>
          <w:rFonts w:hint="eastAsia" w:ascii="黑体" w:eastAsia="黑体"/>
          <w:lang w:eastAsia="zh-CN"/>
        </w:rPr>
        <w:t>五、一般公共预算财政拨款支出决算情况说明</w:t>
      </w:r>
      <w:bookmarkEnd w:id="16"/>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_GB2312" w:hAnsi="楷体_GB2312" w:eastAsia="楷体_GB2312" w:cs="楷体_GB2312"/>
        </w:rPr>
      </w:pPr>
      <w:bookmarkStart w:id="17" w:name="（一）一般公共预算财政拨款支出决算总体情况"/>
      <w:bookmarkEnd w:id="17"/>
      <w:r>
        <w:rPr>
          <w:rFonts w:hint="eastAsia" w:ascii="楷体_GB2312" w:hAnsi="楷体_GB2312" w:eastAsia="楷体_GB2312" w:cs="楷体_GB2312"/>
        </w:rPr>
        <w:t>（一）一般公共预算财政拨款支出决算总体情况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微软雅黑" w:eastAsia="微软雅黑"/>
        </w:rPr>
      </w:pPr>
      <w:r>
        <w:rPr>
          <w:rFonts w:hint="eastAsia" w:ascii="Times New Roman" w:hAnsi="Times New Roman" w:cs="Times New Roman"/>
          <w:spacing w:val="-3"/>
        </w:rPr>
        <w:t>2020年一般公共预算财政拨款支出479.44万元，占本年支出合计的100%</w:t>
      </w:r>
      <w:r>
        <w:rPr>
          <w:rFonts w:hint="eastAsia" w:ascii="Times New Roman" w:hAnsi="Times New Roman" w:cs="Times New Roman"/>
          <w:spacing w:val="-3"/>
          <w:lang w:eastAsia="zh-CN"/>
        </w:rPr>
        <w:t>。</w:t>
      </w:r>
      <w:r>
        <w:rPr>
          <w:rFonts w:hint="eastAsia" w:ascii="Times New Roman" w:hAnsi="Times New Roman" w:cs="Times New Roman"/>
          <w:spacing w:val="-3"/>
        </w:rPr>
        <w:t>与2019 年一般公共预算财政拨款支出452.41万元相比，一般公共预算财政拨款支出增加27.03万元，增长5.97%。主要变动原因是增加工作人员2名，增加了人员支出。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both"/>
        <w:textAlignment w:val="auto"/>
        <w:rPr>
          <w:rFonts w:hint="eastAsia" w:ascii="Times New Roman" w:hAnsi="Times New Roman" w:cs="Times New Roman"/>
          <w:spacing w:val="-3"/>
          <w:w w:val="95"/>
          <w:sz w:val="32"/>
        </w:rPr>
      </w:pPr>
      <w:r>
        <w:rPr>
          <w:w w:val="95"/>
          <w:sz w:val="32"/>
        </w:rPr>
        <w:drawing>
          <wp:anchor distT="0" distB="0" distL="0" distR="0" simplePos="0" relativeHeight="251659264" behindDoc="0" locked="0" layoutInCell="1" allowOverlap="1">
            <wp:simplePos x="0" y="0"/>
            <wp:positionH relativeFrom="page">
              <wp:posOffset>1328420</wp:posOffset>
            </wp:positionH>
            <wp:positionV relativeFrom="paragraph">
              <wp:posOffset>68580</wp:posOffset>
            </wp:positionV>
            <wp:extent cx="4874260" cy="175577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4" cstate="print"/>
                    <a:stretch>
                      <a:fillRect/>
                    </a:stretch>
                  </pic:blipFill>
                  <pic:spPr>
                    <a:xfrm>
                      <a:off x="0" y="0"/>
                      <a:ext cx="4874552" cy="1755648"/>
                    </a:xfrm>
                    <a:prstGeom prst="rect">
                      <a:avLst/>
                    </a:prstGeom>
                  </pic:spPr>
                </pic:pic>
              </a:graphicData>
            </a:graphic>
          </wp:anchor>
        </w:drawing>
      </w:r>
      <w:r>
        <w:rPr>
          <w:rFonts w:hint="eastAsia" w:ascii="Times New Roman" w:hAnsi="Times New Roman" w:cs="Times New Roman"/>
          <w:spacing w:val="-3"/>
          <w:w w:val="95"/>
          <w:sz w:val="32"/>
        </w:rPr>
        <w:t>（图5：一般公共预算财政拨款支出决算变动情况）（柱状图）</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3" w:firstLineChars="200"/>
        <w:textAlignment w:val="auto"/>
        <w:rPr>
          <w:rFonts w:hint="eastAsia" w:ascii="楷体_GB2312" w:hAnsi="楷体_GB2312" w:eastAsia="楷体_GB2312" w:cs="楷体_GB2312"/>
        </w:rPr>
      </w:pPr>
      <w:bookmarkStart w:id="18" w:name="（二）一般公共预算财政拨款支出决算结构情况"/>
      <w:bookmarkEnd w:id="18"/>
      <w:r>
        <w:rPr>
          <w:rFonts w:hint="eastAsia" w:ascii="楷体_GB2312" w:hAnsi="楷体_GB2312" w:eastAsia="楷体_GB2312" w:cs="楷体_GB2312"/>
        </w:rPr>
        <w:t>（二）一般公共预算财政拨款支出决算结构情况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jc w:val="both"/>
        <w:textAlignment w:val="auto"/>
        <w:rPr>
          <w:rFonts w:hint="eastAsia" w:ascii="微软雅黑" w:eastAsia="微软雅黑"/>
        </w:rPr>
      </w:pPr>
      <w:r>
        <w:rPr>
          <w:rFonts w:hint="eastAsia" w:ascii="Times New Roman" w:hAnsi="Times New Roman" w:cs="Times New Roman"/>
          <w:spacing w:val="-3"/>
        </w:rPr>
        <w:t>2020年一般公共预算财政拨款支出479.44万元，主要用于以下方面:一般公共服务支出430.03万元，占89.69%；社会保障和就业支出25.15万元，占5.25%；卫生健康支出9.61万元，占2%；住房保障支出14.65万元，占3.06%。</w:t>
      </w:r>
    </w:p>
    <w:p>
      <w:pPr>
        <w:pStyle w:val="5"/>
        <w:ind w:left="1367"/>
        <w:rPr>
          <w:rFonts w:ascii="微软雅黑"/>
          <w:sz w:val="20"/>
        </w:rPr>
      </w:pPr>
      <w:r>
        <w:rPr>
          <w:rFonts w:ascii="微软雅黑"/>
          <w:sz w:val="20"/>
        </w:rPr>
        <w:drawing>
          <wp:anchor distT="0" distB="0" distL="0" distR="0" simplePos="0" relativeHeight="251663360" behindDoc="0" locked="0" layoutInCell="1" allowOverlap="1">
            <wp:simplePos x="0" y="0"/>
            <wp:positionH relativeFrom="column">
              <wp:posOffset>229870</wp:posOffset>
            </wp:positionH>
            <wp:positionV relativeFrom="paragraph">
              <wp:posOffset>104775</wp:posOffset>
            </wp:positionV>
            <wp:extent cx="4874260" cy="1779905"/>
            <wp:effectExtent l="0" t="0" r="2540" b="10795"/>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5" cstate="print"/>
                    <a:stretch>
                      <a:fillRect/>
                    </a:stretch>
                  </pic:blipFill>
                  <pic:spPr>
                    <a:xfrm>
                      <a:off x="0" y="0"/>
                      <a:ext cx="4874552" cy="1780031"/>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firstLine="0" w:firstLineChars="0"/>
        <w:jc w:val="center"/>
        <w:textAlignment w:val="auto"/>
        <w:rPr>
          <w:rFonts w:hint="eastAsia" w:ascii="Times New Roman" w:hAnsi="Times New Roman" w:cs="Times New Roman"/>
          <w:spacing w:val="-3"/>
        </w:rPr>
      </w:pPr>
      <w:r>
        <w:rPr>
          <w:rFonts w:hint="eastAsia" w:ascii="Times New Roman" w:hAnsi="Times New Roman" w:cs="Times New Roman"/>
          <w:spacing w:val="-3"/>
        </w:rPr>
        <w:t>（图6：一般公共预算财政拨款支出决算结构）（饼状图）</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firstLine="643" w:firstLineChars="200"/>
        <w:textAlignment w:val="auto"/>
        <w:rPr>
          <w:rFonts w:hint="eastAsia" w:ascii="楷体_GB2312" w:hAnsi="楷体_GB2312" w:eastAsia="楷体_GB2312" w:cs="楷体_GB2312"/>
        </w:rPr>
      </w:pPr>
      <w:bookmarkStart w:id="19" w:name="（三）一般公共预算财政拨款支出决算具体情况"/>
      <w:bookmarkEnd w:id="19"/>
      <w:r>
        <w:rPr>
          <w:rFonts w:hint="eastAsia" w:ascii="楷体_GB2312" w:hAnsi="楷体_GB2312" w:eastAsia="楷体_GB2312" w:cs="楷体_GB2312"/>
        </w:rPr>
        <w:t>（三）一般公共预算财政拨款支出决算具体情况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jc w:val="both"/>
        <w:textAlignment w:val="auto"/>
        <w:rPr>
          <w:rFonts w:hint="eastAsia" w:ascii="Times New Roman" w:hAnsi="Times New Roman" w:cs="Times New Roman"/>
          <w:spacing w:val="-3"/>
        </w:rPr>
      </w:pPr>
      <w:r>
        <w:rPr>
          <w:rFonts w:hint="eastAsia" w:ascii="Times New Roman" w:hAnsi="Times New Roman" w:cs="Times New Roman"/>
          <w:spacing w:val="-3"/>
        </w:rPr>
        <w:t>2020年一般公共预算支出决算数为479.44 万元，完成预算97.96%。其中：</w:t>
      </w:r>
    </w:p>
    <w:p>
      <w:pPr>
        <w:pStyle w:val="13"/>
        <w:keepNext w:val="0"/>
        <w:keepLines w:val="0"/>
        <w:pageBreakBefore w:val="0"/>
        <w:widowControl w:val="0"/>
        <w:numPr>
          <w:ilvl w:val="0"/>
          <w:numId w:val="0"/>
        </w:numPr>
        <w:tabs>
          <w:tab w:val="left" w:pos="1958"/>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一般公共服务支出（类）政府办公厅（室）及相关机构事务（款）其他政府办公厅（室）及相关机构事务（项）:  支出决算为2万元，完成预算100%。</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一般公共服务支出（类）党委办公厅（室）及相关机构事务（款）行政运行（项）:支出决算为177.68万元，完成预算94.68%。决算数小于预算数的主要原因是节约了公用经费支出。</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一般公共服务支出（类）党委办公厅（室）及相关机构事务（款）其他党委办公厅（室）及相关机构事务（项）:  支出决算为250.35万元，完成预算100%。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4.</w:t>
      </w:r>
      <w:r>
        <w:rPr>
          <w:rFonts w:hint="eastAsia" w:ascii="Times New Roman" w:hAnsi="Times New Roman" w:eastAsia="仿宋_GB2312" w:cs="Times New Roman"/>
          <w:spacing w:val="-3"/>
          <w:sz w:val="32"/>
          <w:szCs w:val="32"/>
          <w:lang w:val="zh-CN" w:eastAsia="zh-CN" w:bidi="zh-CN"/>
        </w:rPr>
        <w:t>社会保障和就业（类）行政事业单位养老支出（款） 行政单位离退休（项）: 支出决算为4.45万元，完成预算100%。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bookmarkStart w:id="20" w:name="_bookmark9"/>
      <w:bookmarkEnd w:id="20"/>
      <w:r>
        <w:rPr>
          <w:rFonts w:hint="eastAsia" w:ascii="Times New Roman" w:hAnsi="Times New Roman" w:eastAsia="仿宋_GB2312" w:cs="Times New Roman"/>
          <w:spacing w:val="-3"/>
          <w:sz w:val="32"/>
          <w:szCs w:val="32"/>
          <w:lang w:val="en-US" w:eastAsia="zh-CN" w:bidi="zh-CN"/>
        </w:rPr>
        <w:t>5.</w:t>
      </w:r>
      <w:r>
        <w:rPr>
          <w:rFonts w:hint="eastAsia" w:ascii="Times New Roman" w:hAnsi="Times New Roman" w:eastAsia="仿宋_GB2312" w:cs="Times New Roman"/>
          <w:spacing w:val="-3"/>
          <w:sz w:val="32"/>
          <w:szCs w:val="32"/>
          <w:lang w:val="zh-CN" w:eastAsia="zh-CN" w:bidi="zh-CN"/>
        </w:rPr>
        <w:t>社会保障和就业（类）行政事业单位养老（款） 机关事业单位基本养老保险缴费支出（项）: 支出决算为19.22 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6.</w:t>
      </w:r>
      <w:r>
        <w:rPr>
          <w:rFonts w:hint="eastAsia" w:ascii="Times New Roman" w:hAnsi="Times New Roman" w:eastAsia="仿宋_GB2312" w:cs="Times New Roman"/>
          <w:spacing w:val="-3"/>
          <w:sz w:val="32"/>
          <w:szCs w:val="32"/>
          <w:lang w:val="zh-CN" w:eastAsia="zh-CN" w:bidi="zh-CN"/>
        </w:rPr>
        <w:t>社会保障和就业（类）行政事业单位养老支出（款） 机关事业单位职业年金缴费支出（项）: 支出决算为1.38万元，完成预算100%。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7.</w:t>
      </w:r>
      <w:r>
        <w:rPr>
          <w:rFonts w:hint="eastAsia" w:ascii="Times New Roman" w:hAnsi="Times New Roman" w:eastAsia="仿宋_GB2312" w:cs="Times New Roman"/>
          <w:spacing w:val="-3"/>
          <w:sz w:val="32"/>
          <w:szCs w:val="32"/>
          <w:lang w:val="zh-CN" w:eastAsia="zh-CN" w:bidi="zh-CN"/>
        </w:rPr>
        <w:t>社会保障和就业（类）其他社会保障和就业支出（款） 其他社会保障和就业支出（项）: 支出决算为0.1万元，完成预算100%。</w:t>
      </w:r>
    </w:p>
    <w:p>
      <w:pPr>
        <w:pStyle w:val="13"/>
        <w:keepNext w:val="0"/>
        <w:keepLines w:val="0"/>
        <w:pageBreakBefore w:val="0"/>
        <w:widowControl w:val="0"/>
        <w:numPr>
          <w:ilvl w:val="0"/>
          <w:numId w:val="0"/>
        </w:numPr>
        <w:tabs>
          <w:tab w:val="left" w:pos="184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8.</w:t>
      </w:r>
      <w:r>
        <w:rPr>
          <w:rFonts w:hint="eastAsia" w:ascii="Times New Roman" w:hAnsi="Times New Roman" w:eastAsia="仿宋_GB2312" w:cs="Times New Roman"/>
          <w:spacing w:val="-3"/>
          <w:sz w:val="32"/>
          <w:szCs w:val="32"/>
          <w:lang w:val="zh-CN" w:eastAsia="zh-CN" w:bidi="zh-CN"/>
        </w:rPr>
        <w:t>卫生健康支出（类）行政事业单位医疗（款）行政单位医疗（项）: 支出决算为9.61万元，完成预算100%。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黑体" w:eastAsia="黑体"/>
        </w:rPr>
      </w:pPr>
      <w:r>
        <w:rPr>
          <w:rFonts w:hint="eastAsia" w:ascii="Times New Roman" w:hAnsi="Times New Roman" w:eastAsia="仿宋_GB2312" w:cs="Times New Roman"/>
          <w:spacing w:val="-3"/>
          <w:sz w:val="32"/>
          <w:szCs w:val="32"/>
          <w:lang w:val="en-US" w:eastAsia="zh-CN" w:bidi="zh-CN"/>
        </w:rPr>
        <w:t>9.</w:t>
      </w:r>
      <w:r>
        <w:rPr>
          <w:rFonts w:hint="eastAsia" w:ascii="Times New Roman" w:hAnsi="Times New Roman" w:eastAsia="仿宋_GB2312" w:cs="Times New Roman"/>
          <w:spacing w:val="-3"/>
          <w:sz w:val="32"/>
          <w:szCs w:val="32"/>
          <w:lang w:val="zh-CN" w:eastAsia="zh-CN" w:bidi="zh-CN"/>
        </w:rPr>
        <w:t>住房保障支出（类）住房改革支出（款）住房公积（项）: 支出决算为14.65万元，完成预算100%。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outlineLvl w:val="1"/>
        <w:rPr>
          <w:rFonts w:hint="eastAsia" w:ascii="黑体" w:eastAsia="黑体"/>
        </w:rPr>
      </w:pPr>
      <w:bookmarkStart w:id="21" w:name="_Toc5719"/>
      <w:r>
        <w:rPr>
          <w:rFonts w:hint="eastAsia" w:ascii="黑体" w:eastAsia="黑体"/>
        </w:rPr>
        <w:t>六</w:t>
      </w:r>
      <w:r>
        <w:rPr>
          <w:rFonts w:hint="eastAsia" w:ascii="黑体" w:eastAsia="黑体"/>
          <w:b/>
        </w:rPr>
        <w:t>、一</w:t>
      </w:r>
      <w:r>
        <w:rPr>
          <w:rFonts w:hint="eastAsia" w:ascii="黑体" w:eastAsia="黑体"/>
        </w:rPr>
        <w:t>般公共预算财政拨款基本支出决算情况说明</w:t>
      </w:r>
      <w:bookmarkEnd w:id="21"/>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2020年一般公共预算财政拨款基本支出483.4万元， 其中</w:t>
      </w:r>
      <w:r>
        <w:rPr>
          <w:rFonts w:hint="eastAsia" w:ascii="Times New Roman" w:hAnsi="Times New Roman" w:cs="Times New Roman"/>
          <w:spacing w:val="-3"/>
          <w:sz w:val="32"/>
          <w:szCs w:val="32"/>
          <w:lang w:val="zh-CN" w:eastAsia="zh-CN" w:bidi="zh-CN"/>
        </w:rPr>
        <w:t>：</w:t>
      </w:r>
      <w:r>
        <w:rPr>
          <w:rFonts w:hint="eastAsia" w:ascii="Times New Roman" w:hAnsi="Times New Roman" w:eastAsia="仿宋_GB2312" w:cs="Times New Roman"/>
          <w:spacing w:val="-3"/>
          <w:sz w:val="32"/>
          <w:szCs w:val="32"/>
          <w:lang w:val="zh-CN" w:eastAsia="zh-CN" w:bidi="zh-CN"/>
        </w:rPr>
        <w:t>人员经费344.92万元，主要包括：基本工资、津贴补贴、奖金、绩效工资、机关事业单位基本养老保险缴费、职业年金缴费、职工基本医疗保险缴费、其他社会保障缴费、住房公积金、其他工资福利支出、奖励金其他对个人和家庭的补助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日常公用经费134.52万元，主要包括：办公费、印刷费、邮电费、差旅费、维修（护）费、会议费、培训费、劳务费、工会经费、其他交通费、其他商品和服务支出等。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outlineLvl w:val="1"/>
        <w:rPr>
          <w:rFonts w:hint="eastAsia" w:ascii="黑体" w:eastAsia="黑体"/>
          <w:lang w:val="zh-CN" w:eastAsia="zh-CN"/>
        </w:rPr>
      </w:pPr>
      <w:bookmarkStart w:id="22" w:name="七、“三公”经费财政拨款支出决算情况说明"/>
      <w:bookmarkEnd w:id="22"/>
      <w:bookmarkStart w:id="23" w:name="_Toc14386"/>
      <w:r>
        <w:rPr>
          <w:rFonts w:hint="eastAsia" w:ascii="黑体" w:eastAsia="黑体"/>
          <w:lang w:val="zh-CN" w:eastAsia="zh-CN"/>
        </w:rPr>
        <w:t>七、“三公”经费财政拨款支出决算情况说明</w:t>
      </w:r>
      <w:bookmarkEnd w:id="23"/>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35" w:firstLineChars="200"/>
        <w:textAlignment w:val="auto"/>
        <w:rPr>
          <w:rFonts w:hint="eastAsia" w:ascii="楷体" w:hAnsi="楷体" w:eastAsia="楷体" w:cs="楷体"/>
        </w:rPr>
      </w:pPr>
      <w:bookmarkStart w:id="24" w:name="（一）“三公”经费财政拨款支出决算总体情况说明"/>
      <w:bookmarkEnd w:id="24"/>
      <w:r>
        <w:rPr>
          <w:rFonts w:hint="eastAsia" w:ascii="楷体" w:hAnsi="楷体" w:eastAsia="楷体" w:cs="楷体"/>
          <w:w w:val="99"/>
        </w:rPr>
        <w:t>（一</w:t>
      </w:r>
      <w:r>
        <w:rPr>
          <w:rFonts w:hint="eastAsia" w:ascii="楷体" w:hAnsi="楷体" w:eastAsia="楷体" w:cs="楷体"/>
          <w:spacing w:val="-159"/>
          <w:w w:val="99"/>
        </w:rPr>
        <w:t>）</w:t>
      </w:r>
      <w:r>
        <w:rPr>
          <w:rFonts w:hint="eastAsia" w:ascii="楷体" w:hAnsi="楷体" w:eastAsia="楷体" w:cs="楷体"/>
          <w:w w:val="99"/>
        </w:rPr>
        <w:t>“三公”经费财政拨款支出决算总体情况说明</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2020年“三公”经费财政拨款支出决算为0万元，完成预算0%，决算数小于预算数的主要原因是厉行节约，减少了支出。</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35" w:firstLineChars="200"/>
        <w:textAlignment w:val="auto"/>
        <w:rPr>
          <w:rFonts w:hint="eastAsia" w:ascii="楷体" w:hAnsi="楷体" w:eastAsia="楷体" w:cs="楷体"/>
          <w:w w:val="99"/>
        </w:rPr>
      </w:pPr>
      <w:bookmarkStart w:id="25" w:name="（二）“三公”经费财政拨款支出决算具体情况说明"/>
      <w:bookmarkEnd w:id="25"/>
      <w:r>
        <w:rPr>
          <w:rFonts w:hint="eastAsia" w:ascii="楷体" w:hAnsi="楷体" w:eastAsia="楷体" w:cs="楷体"/>
          <w:w w:val="99"/>
        </w:rPr>
        <w:t>（二）“三公”经费财政拨款支出决算具体情况说明</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2020年“三公”经费财政拨款支出决算中，因公出国（境）费支出决算0万元，占0%；公务用车购置及运行维护费支出决算0万元，占0%；公务接待费支出决算0万元，占0%。具体情况如下：</w:t>
      </w:r>
    </w:p>
    <w:p>
      <w:pPr>
        <w:pStyle w:val="5"/>
        <w:ind w:left="0"/>
        <w:rPr>
          <w:rFonts w:ascii="微软雅黑"/>
          <w:sz w:val="42"/>
        </w:rPr>
      </w:pPr>
      <w:r>
        <w:rPr>
          <w:rFonts w:hint="eastAsia" w:ascii="Times New Roman" w:hAnsi="Times New Roman" w:eastAsia="仿宋_GB2312" w:cs="Times New Roman"/>
          <w:spacing w:val="-3"/>
          <w:sz w:val="32"/>
          <w:szCs w:val="32"/>
          <w:lang w:val="zh-CN" w:eastAsia="zh-CN" w:bidi="zh-CN"/>
        </w:rPr>
        <w:drawing>
          <wp:anchor distT="0" distB="0" distL="0" distR="0" simplePos="0" relativeHeight="251660288" behindDoc="1" locked="0" layoutInCell="1" allowOverlap="1">
            <wp:simplePos x="0" y="0"/>
            <wp:positionH relativeFrom="page">
              <wp:posOffset>1395095</wp:posOffset>
            </wp:positionH>
            <wp:positionV relativeFrom="paragraph">
              <wp:posOffset>62865</wp:posOffset>
            </wp:positionV>
            <wp:extent cx="4827905" cy="153797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6" cstate="print"/>
                    <a:stretch>
                      <a:fillRect/>
                    </a:stretch>
                  </pic:blipFill>
                  <pic:spPr>
                    <a:xfrm>
                      <a:off x="0" y="0"/>
                      <a:ext cx="4828032" cy="1537830"/>
                    </a:xfrm>
                    <a:prstGeom prst="rect">
                      <a:avLst/>
                    </a:prstGeom>
                  </pic:spPr>
                </pic:pic>
              </a:graphicData>
            </a:graphic>
          </wp:anchor>
        </w:drawing>
      </w:r>
    </w:p>
    <w:p>
      <w:pPr>
        <w:pStyle w:val="5"/>
        <w:ind w:left="0"/>
        <w:rPr>
          <w:rFonts w:ascii="微软雅黑"/>
          <w:sz w:val="42"/>
        </w:rPr>
      </w:pPr>
    </w:p>
    <w:p>
      <w:pPr>
        <w:pStyle w:val="5"/>
        <w:spacing w:before="9"/>
        <w:ind w:left="0"/>
        <w:rPr>
          <w:rFonts w:ascii="微软雅黑"/>
          <w:sz w:val="47"/>
        </w:rPr>
      </w:pPr>
    </w:p>
    <w:p>
      <w:pPr>
        <w:pStyle w:val="5"/>
        <w:ind w:left="1439"/>
        <w:rPr>
          <w:rFonts w:hint="eastAsia" w:ascii="微软雅黑" w:hAnsi="微软雅黑" w:eastAsia="微软雅黑"/>
          <w:w w:val="99"/>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（图7：“三公”经费财政拨款支出结构）（饼状图）</w:t>
      </w:r>
    </w:p>
    <w:p>
      <w:pPr>
        <w:pStyle w:val="13"/>
        <w:keepNext w:val="0"/>
        <w:keepLines w:val="0"/>
        <w:pageBreakBefore w:val="0"/>
        <w:widowControl w:val="0"/>
        <w:numPr>
          <w:ilvl w:val="0"/>
          <w:numId w:val="0"/>
        </w:numPr>
        <w:tabs>
          <w:tab w:val="left" w:pos="1905"/>
        </w:tabs>
        <w:kinsoku/>
        <w:wordWrap/>
        <w:overflowPunct/>
        <w:topLinePunct w:val="0"/>
        <w:autoSpaceDE w:val="0"/>
        <w:autoSpaceDN w:val="0"/>
        <w:bidi w:val="0"/>
        <w:adjustRightInd/>
        <w:snapToGrid/>
        <w:spacing w:before="0" w:after="0" w:line="592" w:lineRule="exact"/>
        <w:ind w:left="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因公出国（境）经费支出0万元，完成预算0%。全年安排因公出国（境）团组0次，出国（境）0人。因公出国（境）支出决算与2019 年持平。</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公务用车购置及运行维护费支出0万元,完成预算0%。公务用车购置及运行维护费支出决算与2019 年持平。其中：公务用车购置支出0万元。全年按规定更新购置公务用车0辆，金额0元。截至2019年12月底，单位共有公务用车0辆，其中：主要领导干</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部用车0辆、机要通信用车0辆、应急保障用车0辆、 执法执勤用车0辆。公务用车运行维护费支出0元。</w:t>
      </w:r>
    </w:p>
    <w:p>
      <w:pPr>
        <w:pStyle w:val="13"/>
        <w:keepNext w:val="0"/>
        <w:keepLines w:val="0"/>
        <w:pageBreakBefore w:val="0"/>
        <w:widowControl w:val="0"/>
        <w:numPr>
          <w:ilvl w:val="0"/>
          <w:numId w:val="0"/>
        </w:numPr>
        <w:tabs>
          <w:tab w:val="left" w:pos="1905"/>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公务接待费支出0万元，完成预算0%。公务接待费支出决算与2019年持平。其中：国内公务接待支出0万元，国内公务接待0批次，0人次（不包括陪同人员），共计支出0万元。外事接待支出0万元，外事接待0批次，0人，共计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26" w:name="八、政府性基金预算支出决算情况说明"/>
      <w:bookmarkEnd w:id="26"/>
      <w:bookmarkStart w:id="27" w:name="_Toc16317"/>
      <w:r>
        <w:rPr>
          <w:rFonts w:hint="eastAsia" w:ascii="黑体" w:eastAsia="黑体"/>
        </w:rPr>
        <w:t>八、政府性基金预算支出决算情况说明</w:t>
      </w:r>
      <w:bookmarkEnd w:id="27"/>
      <w:r>
        <w:rPr>
          <w:rFonts w:hint="eastAsia" w:ascii="黑体" w:eastAsia="黑体"/>
        </w:rPr>
        <w:t xml:space="preserve"> </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2020年政府性基金预算拨款支出0万元。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28" w:name="_Toc8247"/>
      <w:r>
        <w:rPr>
          <w:rFonts w:hint="eastAsia" w:ascii="黑体" w:eastAsia="黑体"/>
          <w:lang w:eastAsia="zh-CN"/>
        </w:rPr>
        <w:t>九、</w:t>
      </w:r>
      <w:r>
        <w:rPr>
          <w:rFonts w:hint="eastAsia" w:ascii="黑体" w:eastAsia="黑体"/>
        </w:rPr>
        <w:t>国有资本经营预算支出决算情况说明</w:t>
      </w:r>
      <w:bookmarkEnd w:id="28"/>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 年国有资本经营预算拨款支出0万元。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lang w:eastAsia="zh-CN"/>
        </w:rPr>
      </w:pPr>
      <w:bookmarkStart w:id="29" w:name="_Toc7723"/>
      <w:r>
        <w:rPr>
          <w:rFonts w:hint="eastAsia" w:ascii="黑体" w:eastAsia="黑体"/>
          <w:lang w:eastAsia="zh-CN"/>
        </w:rPr>
        <w:t>十、其他重要事项的情况说明</w:t>
      </w:r>
      <w:bookmarkEnd w:id="29"/>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rPr>
      </w:pPr>
      <w:bookmarkStart w:id="30" w:name="（一）机关运行经费支出情况"/>
      <w:bookmarkEnd w:id="30"/>
      <w:r>
        <w:rPr>
          <w:rFonts w:hint="eastAsia" w:ascii="楷体" w:hAnsi="楷体" w:eastAsia="楷体" w:cs="楷体"/>
          <w:w w:val="95"/>
        </w:rPr>
        <w:t>（一）机关运行经费支出情况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2020年，</w:t>
      </w:r>
      <w:r>
        <w:rPr>
          <w:rFonts w:hint="eastAsia" w:ascii="Times New Roman" w:hAnsi="Times New Roman" w:eastAsia="仿宋_GB2312" w:cs="Times New Roman"/>
          <w:spacing w:val="-3"/>
          <w:sz w:val="32"/>
          <w:szCs w:val="32"/>
          <w:lang w:val="zh-CN" w:eastAsia="zh-CN" w:bidi="zh-CN"/>
        </w:rPr>
        <w:t>自贡市自流井区委员会机关运行经费支出134.52万元，比2019年增加9.07万元，增</w:t>
      </w:r>
      <w:r>
        <w:rPr>
          <w:rFonts w:hint="eastAsia" w:ascii="Times New Roman" w:hAnsi="Times New Roman" w:eastAsia="仿宋_GB2312" w:cs="Times New Roman"/>
          <w:spacing w:val="-3"/>
          <w:sz w:val="32"/>
          <w:szCs w:val="32"/>
          <w:lang w:val="zh-CN" w:eastAsia="zh-CN" w:bidi="zh-CN"/>
        </w:rPr>
        <w:drawing>
          <wp:anchor distT="0" distB="0" distL="0" distR="0" simplePos="0" relativeHeight="251661312" behindDoc="1" locked="0" layoutInCell="1" allowOverlap="1">
            <wp:simplePos x="0" y="0"/>
            <wp:positionH relativeFrom="page">
              <wp:posOffset>1809115</wp:posOffset>
            </wp:positionH>
            <wp:positionV relativeFrom="paragraph">
              <wp:posOffset>194310</wp:posOffset>
            </wp:positionV>
            <wp:extent cx="85725" cy="155575"/>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anchor>
        </w:drawing>
      </w:r>
      <w:r>
        <w:rPr>
          <w:rFonts w:hint="eastAsia" w:ascii="Times New Roman" w:hAnsi="Times New Roman" w:eastAsia="仿宋_GB2312" w:cs="Times New Roman"/>
          <w:spacing w:val="-3"/>
          <w:sz w:val="32"/>
          <w:szCs w:val="32"/>
          <w:lang w:val="zh-CN" w:eastAsia="zh-CN" w:bidi="zh-CN"/>
        </w:rPr>
        <w:t>长</w:t>
      </w:r>
      <w:r>
        <w:rPr>
          <w:rFonts w:hint="eastAsia" w:ascii="Times New Roman" w:hAnsi="Times New Roman" w:cs="Times New Roman"/>
          <w:spacing w:val="-3"/>
          <w:sz w:val="32"/>
          <w:szCs w:val="32"/>
          <w:lang w:val="en-US" w:eastAsia="zh-CN" w:bidi="zh-CN"/>
        </w:rPr>
        <w:t>7.23%</w:t>
      </w:r>
      <w:r>
        <w:rPr>
          <w:rFonts w:hint="eastAsia" w:ascii="Times New Roman" w:hAnsi="Times New Roman" w:eastAsia="仿宋_GB2312" w:cs="Times New Roman"/>
          <w:spacing w:val="-3"/>
          <w:sz w:val="32"/>
          <w:szCs w:val="32"/>
          <w:lang w:val="zh-CN" w:eastAsia="zh-CN" w:bidi="zh-CN"/>
        </w:rPr>
        <w:t xml:space="preserve"> 。主要原因是是增加工作人员2名，增加了支出。</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r>
        <w:rPr>
          <w:rFonts w:hint="eastAsia" w:ascii="楷体" w:hAnsi="楷体" w:eastAsia="楷体" w:cs="楷体"/>
          <w:w w:val="95"/>
        </w:rPr>
        <w:t>（二）政府采购支出情况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2020年，我部门政府采购支出总额15.5万元，其中：政府采购货物支出0万元、政府采购工程支出0万元、政府采购服务支出 15.5万元。授予中小企业合同金额0万元，占政府采购支出总额的 0</w:t>
      </w:r>
      <w:r>
        <w:rPr>
          <w:rFonts w:hint="eastAsia" w:ascii="Times New Roman" w:hAnsi="Times New Roman" w:eastAsia="仿宋_GB2312" w:cs="Times New Roman"/>
          <w:spacing w:val="-3"/>
          <w:sz w:val="32"/>
          <w:szCs w:val="32"/>
          <w:lang w:val="zh-CN" w:eastAsia="zh-CN" w:bidi="zh-CN"/>
        </w:rPr>
        <w:drawing>
          <wp:inline distT="0" distB="0" distL="0" distR="0">
            <wp:extent cx="85090" cy="154940"/>
            <wp:effectExtent l="0" t="0" r="0" b="0"/>
            <wp:docPr id="1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eastAsia="仿宋_GB2312" w:cs="Times New Roman"/>
          <w:spacing w:val="-3"/>
          <w:sz w:val="32"/>
          <w:szCs w:val="32"/>
          <w:lang w:val="zh-CN" w:eastAsia="zh-CN" w:bidi="zh-CN"/>
        </w:rPr>
        <w:t>，其中：授予小微企业合同金额0万元，占政府采购支出总额的0</w:t>
      </w:r>
      <w:r>
        <w:rPr>
          <w:rFonts w:hint="eastAsia" w:ascii="Times New Roman" w:hAnsi="Times New Roman" w:eastAsia="仿宋_GB2312" w:cs="Times New Roman"/>
          <w:spacing w:val="-3"/>
          <w:sz w:val="32"/>
          <w:szCs w:val="32"/>
          <w:lang w:val="zh-CN" w:eastAsia="zh-CN" w:bidi="zh-CN"/>
        </w:rPr>
        <w:drawing>
          <wp:inline distT="0" distB="0" distL="0" distR="0">
            <wp:extent cx="85090" cy="154940"/>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eastAsia="仿宋_GB2312" w:cs="Times New Roman"/>
          <w:spacing w:val="-3"/>
          <w:sz w:val="32"/>
          <w:szCs w:val="32"/>
          <w:lang w:val="zh-CN" w:eastAsia="zh-CN" w:bidi="zh-CN"/>
        </w:rPr>
        <w:t>。</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bookmarkStart w:id="31" w:name="（三）国有资产占有使用情况"/>
      <w:bookmarkEnd w:id="31"/>
      <w:r>
        <w:rPr>
          <w:rFonts w:hint="eastAsia" w:ascii="楷体" w:hAnsi="楷体" w:eastAsia="楷体" w:cs="楷体"/>
          <w:w w:val="95"/>
        </w:rPr>
        <w:t>（三）国有资产占有使用情况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截至2020年12月31日，我部门共有车辆0辆，其中：主要领导干部用车0辆、机要通信用车0辆、应急保障用车0辆、其他用车0辆。单价50万元以上通用设备0台（套），单价100万元以上专用设备0台（套）。</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r>
        <w:rPr>
          <w:rFonts w:hint="eastAsia" w:ascii="楷体" w:hAnsi="楷体" w:eastAsia="楷体" w:cs="楷体"/>
          <w:w w:val="95"/>
        </w:rPr>
        <w:t>（四）预算绩效管理情况。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根据预算绩效管理要求，本部门（单位）在年初预算编制阶段，对0个项目编制了绩效目标，预算执行过程中，选取0个项目开展绩效监控，年终执行完毕后，对0个项目开展了绩效目标完成情况自评。</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本部门按要求对2020年部门整体支出开展绩效自评，从评价情况来看全面完成了当年目标任务。本部门还自行组织了0个项目支出绩效评价，由于本部门无专项预算项目，因此未组织开展项目支出绩效评价。</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项目绩效目标完成情况。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ascii="宋体"/>
          <w:sz w:val="6"/>
        </w:rPr>
      </w:pPr>
      <w:r>
        <w:rPr>
          <w:rFonts w:hint="eastAsia" w:ascii="Times New Roman" w:hAnsi="Times New Roman" w:eastAsia="仿宋_GB2312" w:cs="Times New Roman"/>
          <w:spacing w:val="-3"/>
          <w:sz w:val="32"/>
          <w:szCs w:val="32"/>
          <w:lang w:val="zh-CN" w:eastAsia="zh-CN" w:bidi="zh-CN"/>
        </w:rPr>
        <w:t>本部门在2020年度部门决算中反映0个项目绩效目标实际完成情况</w:t>
      </w:r>
      <w:r>
        <w:rPr>
          <w:rFonts w:hint="eastAsia" w:ascii="Times New Roman" w:hAnsi="Times New Roman" w:cs="Times New Roman"/>
          <w:spacing w:val="-3"/>
          <w:sz w:val="32"/>
          <w:szCs w:val="32"/>
          <w:lang w:val="zh-CN" w:eastAsia="zh-CN" w:bidi="zh-CN"/>
        </w:rPr>
        <w:t>。</w:t>
      </w:r>
    </w:p>
    <w:p>
      <w:pPr>
        <w:pStyle w:val="5"/>
        <w:spacing w:before="2"/>
        <w:ind w:left="0"/>
        <w:rPr>
          <w:rFonts w:ascii="宋体"/>
          <w:sz w:val="7"/>
        </w:rPr>
      </w:pP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部门绩效评价结果。</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本部门按要求对2020年部门整体支出绩效评价情况开展自评，从评价情况来看全面完成了当年目标任务。《中国共产党四川省自贡市自流井区委员会2020年部门整体支出绩效评价报告》见附件（附件1）。</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本部门未组织项目绩效评价。</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bookmarkStart w:id="85" w:name="_GoBack"/>
      <w:bookmarkEnd w:id="85"/>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0"/>
      </w:pPr>
      <w:bookmarkStart w:id="32" w:name="_Toc30741"/>
      <w:r>
        <w:t>第三部分 名词解释</w:t>
      </w:r>
      <w:bookmarkEnd w:id="32"/>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财政拨款收入：指单位从同级财政部门取得的财政预算金。</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事业收入：指事业单位开展专业业务活动及辅助活动取得的收入。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4.</w:t>
      </w:r>
      <w:r>
        <w:rPr>
          <w:rFonts w:hint="eastAsia" w:ascii="Times New Roman" w:hAnsi="Times New Roman" w:eastAsia="仿宋_GB2312" w:cs="Times New Roman"/>
          <w:spacing w:val="-3"/>
          <w:sz w:val="32"/>
          <w:szCs w:val="32"/>
          <w:lang w:val="zh-CN" w:eastAsia="zh-CN" w:bidi="zh-CN"/>
        </w:rPr>
        <w:t>其他收入：指单位取得的除上述收入以外的各项收入。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5.</w:t>
      </w:r>
      <w:r>
        <w:rPr>
          <w:rFonts w:hint="eastAsia" w:ascii="Times New Roman" w:hAnsi="Times New Roman" w:eastAsia="仿宋_GB2312" w:cs="Times New Roman"/>
          <w:spacing w:val="-3"/>
          <w:sz w:val="32"/>
          <w:szCs w:val="32"/>
          <w:lang w:val="zh-CN" w:eastAsia="zh-CN" w:bidi="zh-CN"/>
        </w:rPr>
        <w:t>使用非财政拨款结余：指事业单位使用以前年度积累的非财政拨款结余弥补当年收支差额的金额。</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6.</w:t>
      </w:r>
      <w:r>
        <w:rPr>
          <w:rFonts w:hint="eastAsia" w:ascii="Times New Roman" w:hAnsi="Times New Roman" w:eastAsia="仿宋_GB2312" w:cs="Times New Roman"/>
          <w:spacing w:val="-3"/>
          <w:sz w:val="32"/>
          <w:szCs w:val="32"/>
          <w:lang w:val="zh-CN" w:eastAsia="zh-CN" w:bidi="zh-CN"/>
        </w:rPr>
        <w:t>年初结转和结余：指以前年度尚未完成、结转到本年按有关规定继续使用的资金。</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7.</w:t>
      </w:r>
      <w:r>
        <w:rPr>
          <w:rFonts w:hint="eastAsia" w:ascii="Times New Roman" w:hAnsi="Times New Roman" w:eastAsia="仿宋_GB2312" w:cs="Times New Roman"/>
          <w:spacing w:val="-3"/>
          <w:sz w:val="32"/>
          <w:szCs w:val="32"/>
          <w:lang w:val="zh-CN" w:eastAsia="zh-CN" w:bidi="zh-CN"/>
        </w:rPr>
        <w:t>结余分配：指事业单位按照会计制度规定缴纳的所得税、提取的专用结余以及转入非财政拨款结余的金额等。</w:t>
      </w:r>
    </w:p>
    <w:p>
      <w:pPr>
        <w:pStyle w:val="13"/>
        <w:keepNext w:val="0"/>
        <w:keepLines w:val="0"/>
        <w:pageBreakBefore w:val="0"/>
        <w:widowControl w:val="0"/>
        <w:numPr>
          <w:ilvl w:val="0"/>
          <w:numId w:val="0"/>
        </w:numPr>
        <w:tabs>
          <w:tab w:val="left" w:pos="1900"/>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8.</w:t>
      </w:r>
      <w:r>
        <w:rPr>
          <w:rFonts w:hint="eastAsia" w:ascii="Times New Roman" w:hAnsi="Times New Roman" w:eastAsia="仿宋_GB2312" w:cs="Times New Roman"/>
          <w:spacing w:val="-3"/>
          <w:sz w:val="32"/>
          <w:szCs w:val="32"/>
          <w:lang w:val="zh-CN" w:eastAsia="zh-CN" w:bidi="zh-CN"/>
        </w:rPr>
        <w:t>年末结转和结余：指单位按有关规定结转到下年或以后年度继续使用的资金。</w:t>
      </w:r>
    </w:p>
    <w:p>
      <w:pPr>
        <w:pStyle w:val="13"/>
        <w:keepNext w:val="0"/>
        <w:keepLines w:val="0"/>
        <w:pageBreakBefore w:val="0"/>
        <w:widowControl w:val="0"/>
        <w:numPr>
          <w:ilvl w:val="0"/>
          <w:numId w:val="0"/>
        </w:numPr>
        <w:tabs>
          <w:tab w:val="left" w:pos="1821"/>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9.</w:t>
      </w:r>
      <w:r>
        <w:rPr>
          <w:rFonts w:hint="eastAsia" w:ascii="Times New Roman" w:hAnsi="Times New Roman" w:eastAsia="仿宋_GB2312" w:cs="Times New Roman"/>
          <w:spacing w:val="-3"/>
          <w:sz w:val="32"/>
          <w:szCs w:val="32"/>
          <w:lang w:val="zh-CN" w:eastAsia="zh-CN" w:bidi="zh-CN"/>
        </w:rPr>
        <w:t>一般公共服务支出（类）政府办公厅（室）及相关机构事务（款）其他政府办公厅（室）及相关机构事务支出（项）:指反映除上述项目以外的其他政府办公厅（室）及相关机构事务支出。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10.</w:t>
      </w:r>
      <w:r>
        <w:rPr>
          <w:rFonts w:hint="eastAsia" w:ascii="Times New Roman" w:hAnsi="Times New Roman" w:eastAsia="仿宋_GB2312" w:cs="Times New Roman"/>
          <w:spacing w:val="-3"/>
          <w:sz w:val="32"/>
          <w:szCs w:val="32"/>
          <w:lang w:val="zh-CN" w:eastAsia="zh-CN" w:bidi="zh-CN"/>
        </w:rPr>
        <w:t>一般公共服务支出（类）党委办公厅（室）及相关机构事务（款）行政运行（项）：指反映行政单位（包括实行公务员管理的事业单位）的基本支出。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11.</w:t>
      </w:r>
      <w:r>
        <w:rPr>
          <w:rFonts w:hint="eastAsia" w:ascii="Times New Roman" w:hAnsi="Times New Roman" w:eastAsia="仿宋_GB2312" w:cs="Times New Roman"/>
          <w:spacing w:val="-3"/>
          <w:sz w:val="32"/>
          <w:szCs w:val="32"/>
          <w:lang w:val="zh-CN" w:eastAsia="zh-CN" w:bidi="zh-CN"/>
        </w:rPr>
        <w:t>一般公共服务支出（类）党委办公厅（室）及相关机构事务（款）其他党委办公厅（室）及相关机构事务（项）：指反映除上述项目以外的其他党委办公厅（室）及相关机构事务支出。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12.</w:t>
      </w:r>
      <w:r>
        <w:rPr>
          <w:rFonts w:hint="eastAsia" w:ascii="Times New Roman" w:hAnsi="Times New Roman" w:eastAsia="仿宋_GB2312" w:cs="Times New Roman"/>
          <w:spacing w:val="-3"/>
          <w:sz w:val="32"/>
          <w:szCs w:val="32"/>
          <w:lang w:val="zh-CN" w:eastAsia="zh-CN" w:bidi="zh-CN"/>
        </w:rPr>
        <w:t>社会保障和就业（类）行政事业单位养老支出（款）行政单位离退休（项）：指反映行政单位（包括实行公务员管理的事业单位）开支的离退休经费。</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13.</w:t>
      </w:r>
      <w:r>
        <w:rPr>
          <w:rFonts w:hint="eastAsia" w:ascii="Times New Roman" w:hAnsi="Times New Roman" w:eastAsia="仿宋_GB2312" w:cs="Times New Roman"/>
          <w:spacing w:val="-3"/>
          <w:sz w:val="32"/>
          <w:szCs w:val="32"/>
          <w:lang w:val="zh-CN" w:eastAsia="zh-CN" w:bidi="zh-CN"/>
        </w:rPr>
        <w:t>社会保障和就业支出（类）行政事业单位养老支出（款）机关事业单位基本养老保险缴费支出（项）: 指反映机关事业单位实施养老保险制度由单位缴纳的基本养老保险费支出。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14.</w:t>
      </w:r>
      <w:r>
        <w:rPr>
          <w:rFonts w:hint="eastAsia" w:ascii="Times New Roman" w:hAnsi="Times New Roman" w:eastAsia="仿宋_GB2312" w:cs="Times New Roman"/>
          <w:spacing w:val="-3"/>
          <w:sz w:val="32"/>
          <w:szCs w:val="32"/>
          <w:lang w:val="zh-CN" w:eastAsia="zh-CN" w:bidi="zh-CN"/>
        </w:rPr>
        <w:t>社会保障和就业（类）行政事业单位养老支出（款） 机关事业单位职业年金缴费支出（项）：指反映机构事业单位实施养老保险制度有单位实际缴纳的职业年金支出。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15.</w:t>
      </w:r>
      <w:r>
        <w:rPr>
          <w:rFonts w:hint="eastAsia" w:ascii="Times New Roman" w:hAnsi="Times New Roman" w:eastAsia="仿宋_GB2312" w:cs="Times New Roman"/>
          <w:spacing w:val="-3"/>
          <w:sz w:val="32"/>
          <w:szCs w:val="32"/>
          <w:lang w:val="zh-CN" w:eastAsia="zh-CN" w:bidi="zh-CN"/>
        </w:rPr>
        <w:t>社会保障和就业支出（类）其他社会保障和就业支出（款）其他社会保障和就业支出（项）:指反映除上述项目以外其他用于社会保障和就业方面的支出。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16.</w:t>
      </w:r>
      <w:r>
        <w:rPr>
          <w:rFonts w:hint="eastAsia" w:ascii="Times New Roman" w:hAnsi="Times New Roman" w:eastAsia="仿宋_GB2312" w:cs="Times New Roman"/>
          <w:spacing w:val="-3"/>
          <w:sz w:val="32"/>
          <w:szCs w:val="32"/>
          <w:lang w:val="zh-CN" w:eastAsia="zh-CN" w:bidi="zh-CN"/>
        </w:rPr>
        <w:t>卫生健康支出（类）行政事业单位医疗（款）行政单位医疗（项）:指反映财政部门安排的行政单位（包括实行公务员管理的事业单位）基本医疗保险缴费经费，未参加医疗保险的行政单位的公费医疗经费，按国家规定享受离休人员、红军老战士待遇的医疗经费。</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17.</w:t>
      </w:r>
      <w:r>
        <w:rPr>
          <w:rFonts w:hint="eastAsia" w:ascii="Times New Roman" w:hAnsi="Times New Roman" w:eastAsia="仿宋_GB2312" w:cs="Times New Roman"/>
          <w:spacing w:val="-3"/>
          <w:sz w:val="32"/>
          <w:szCs w:val="32"/>
          <w:lang w:val="zh-CN" w:eastAsia="zh-CN" w:bidi="zh-CN"/>
        </w:rPr>
        <w:t>住房保障支出（类）住房改革支出（款）住房公积金</w:t>
      </w:r>
      <w:r>
        <w:rPr>
          <w:rFonts w:hint="eastAsia" w:ascii="Times New Roman" w:hAnsi="Times New Roman" w:eastAsia="仿宋_GB2312" w:cs="Times New Roman"/>
          <w:spacing w:val="-3"/>
          <w:sz w:val="32"/>
          <w:szCs w:val="32"/>
          <w:lang w:val="en-US" w:eastAsia="zh-CN" w:bidi="zh-CN"/>
        </w:rPr>
        <w:t>（项）: 指反映行政事业单位按人力资源和社会保障部、财政部规定的基本工资和津贴补贴以及规定比例为职工缴纳 的住房公积金。</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18.基本支出：指为保障机构正常运转、完成日常工作任务而发生的人员支出和公用支出。</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19.项目支出：指在基本支出之外为完成特定行政任务和事业发展目标所发生的支出。</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20.经营支出：指事业单位在专业业务活动及其辅助活动之外开展非独立核算经营活动发生的支出。</w:t>
      </w:r>
    </w:p>
    <w:p>
      <w:pPr>
        <w:pStyle w:val="13"/>
        <w:keepNext w:val="0"/>
        <w:keepLines w:val="0"/>
        <w:pageBreakBefore w:val="0"/>
        <w:widowControl w:val="0"/>
        <w:numPr>
          <w:ilvl w:val="0"/>
          <w:numId w:val="0"/>
        </w:numPr>
        <w:tabs>
          <w:tab w:val="left" w:pos="2061"/>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21.“三公”经费：指部门用财政拨款安排的因公出国（境）费、公务用车购置及运行费和公务接待费。其中，因公出国（境）费反映单位公务出国（境）的国际旅费、国外城市间交通费、住宿费、伙食费、培训费、公杂费等支出； 公务用车购置及运行费反映单位公务用车车辆购置支出（含车辆购置税）及租用费、燃料费、维修费、过路过桥费、保险费等支出；公务接待费反映单位按规定开支的各类公务接待（含外宾接待）支出。</w:t>
      </w:r>
    </w:p>
    <w:p>
      <w:pPr>
        <w:pStyle w:val="13"/>
        <w:keepNext w:val="0"/>
        <w:keepLines w:val="0"/>
        <w:pageBreakBefore w:val="0"/>
        <w:widowControl w:val="0"/>
        <w:numPr>
          <w:ilvl w:val="0"/>
          <w:numId w:val="0"/>
        </w:numPr>
        <w:tabs>
          <w:tab w:val="left" w:pos="2061"/>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sz w:val="14"/>
        </w:rPr>
        <w:sectPr>
          <w:footerReference r:id="rId7" w:type="default"/>
          <w:pgSz w:w="11910" w:h="16840"/>
          <w:pgMar w:top="2154" w:right="1417" w:bottom="2041" w:left="1531" w:header="0" w:footer="1196" w:gutter="0"/>
          <w:pgNumType w:fmt="decimal"/>
          <w:cols w:space="720" w:num="1"/>
        </w:sectPr>
      </w:pPr>
      <w:r>
        <w:rPr>
          <w:rFonts w:hint="eastAsia" w:ascii="Times New Roman" w:hAnsi="Times New Roman" w:eastAsia="仿宋_GB2312" w:cs="Times New Roman"/>
          <w:spacing w:val="-3"/>
          <w:sz w:val="32"/>
          <w:szCs w:val="32"/>
          <w:lang w:val="en-US" w:eastAsia="zh-CN" w:bidi="zh-CN"/>
        </w:rPr>
        <w:t>22.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5"/>
        <w:ind w:left="0" w:leftChars="0" w:firstLine="0" w:firstLineChars="0"/>
        <w:rPr>
          <w:rFonts w:hint="eastAsia" w:eastAsia="仿宋_GB2312"/>
          <w:lang w:eastAsia="zh-CN"/>
        </w:rPr>
        <w:sectPr>
          <w:type w:val="continuous"/>
          <w:pgSz w:w="11910" w:h="16840"/>
          <w:pgMar w:top="2154" w:right="1417" w:bottom="2041" w:left="1531" w:header="720" w:footer="720" w:gutter="0"/>
          <w:pgNumType w:fmt="decimal"/>
          <w:cols w:equalWidth="0" w:num="2">
            <w:col w:w="1189" w:space="972"/>
            <w:col w:w="6801"/>
          </w:cols>
        </w:sectPr>
      </w:pPr>
      <w:bookmarkStart w:id="33" w:name="_bookmark15"/>
      <w:bookmarkEnd w:id="33"/>
      <w:bookmarkStart w:id="34" w:name="附件1"/>
      <w:bookmarkEnd w:id="34"/>
      <w:bookmarkStart w:id="35" w:name="第四部分附件"/>
      <w:bookmarkEnd w:id="35"/>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400" w:firstLineChars="100"/>
        <w:jc w:val="center"/>
        <w:textAlignment w:val="auto"/>
        <w:outlineLvl w:val="0"/>
        <w:rPr>
          <w:rFonts w:hint="eastAsia" w:ascii="方正小标宋简体" w:hAnsi="仿宋_GB2312" w:eastAsia="方正小标宋简体" w:cs="仿宋_GB2312"/>
          <w:i w:val="0"/>
          <w:iCs/>
          <w:sz w:val="40"/>
          <w:szCs w:val="22"/>
          <w:lang w:val="zh-CN" w:eastAsia="zh-CN" w:bidi="zh-CN"/>
        </w:rPr>
      </w:pPr>
      <w:bookmarkStart w:id="36" w:name="_Toc6457"/>
      <w:r>
        <w:rPr>
          <w:rFonts w:hint="eastAsia" w:ascii="方正小标宋简体" w:hAnsi="仿宋_GB2312" w:eastAsia="方正小标宋简体" w:cs="仿宋_GB2312"/>
          <w:i w:val="0"/>
          <w:iCs/>
          <w:sz w:val="40"/>
          <w:szCs w:val="22"/>
          <w:lang w:val="zh-CN" w:eastAsia="zh-CN" w:bidi="zh-CN"/>
        </w:rPr>
        <w:t>第四部分附件</w:t>
      </w:r>
      <w:bookmarkEnd w:id="36"/>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320" w:firstLineChars="100"/>
        <w:textAlignment w:val="auto"/>
        <w:outlineLvl w:val="1"/>
        <w:rPr>
          <w:rFonts w:hint="eastAsia" w:ascii="黑体" w:hAnsi="黑体" w:eastAsia="黑体" w:cs="黑体"/>
          <w:i w:val="0"/>
          <w:iCs/>
          <w:sz w:val="32"/>
          <w:szCs w:val="32"/>
          <w:lang w:val="en-US" w:eastAsia="zh-CN" w:bidi="zh-CN"/>
        </w:rPr>
      </w:pPr>
      <w:bookmarkStart w:id="37" w:name="_Toc27287"/>
      <w:r>
        <w:rPr>
          <w:rFonts w:hint="eastAsia" w:ascii="黑体" w:hAnsi="黑体" w:eastAsia="黑体" w:cs="黑体"/>
          <w:i w:val="0"/>
          <w:iCs/>
          <w:sz w:val="32"/>
          <w:szCs w:val="32"/>
          <w:lang w:val="zh-CN" w:eastAsia="zh-CN" w:bidi="zh-CN"/>
        </w:rPr>
        <w:t>附件</w:t>
      </w:r>
      <w:r>
        <w:rPr>
          <w:rFonts w:hint="eastAsia" w:ascii="黑体" w:hAnsi="黑体" w:eastAsia="黑体" w:cs="黑体"/>
          <w:i w:val="0"/>
          <w:iCs/>
          <w:sz w:val="32"/>
          <w:szCs w:val="32"/>
          <w:lang w:val="en-US" w:eastAsia="zh-CN" w:bidi="zh-CN"/>
        </w:rPr>
        <w:t>1</w:t>
      </w:r>
      <w:bookmarkEnd w:id="37"/>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r>
        <w:rPr>
          <w:rFonts w:hint="eastAsia" w:ascii="方正小标宋简体" w:eastAsia="方正小标宋简体"/>
          <w:i w:val="0"/>
          <w:iCs/>
          <w:sz w:val="40"/>
        </w:rPr>
        <w:t>中国共产党四川省自贡市自流井区委员会</w:t>
      </w:r>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r>
        <w:rPr>
          <w:rFonts w:hint="eastAsia" w:ascii="方正小标宋简体" w:eastAsia="方正小标宋简体"/>
          <w:i w:val="0"/>
          <w:iCs/>
          <w:sz w:val="40"/>
        </w:rPr>
        <w:t>2020 年部门整体支出绩效评价报告</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rFonts w:ascii="方正小标宋简体"/>
          <w:i w:val="0"/>
          <w:iCs/>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一、部门（单位）概况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（一）机构组成。</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1"/>
        </w:rPr>
      </w:pPr>
      <w:r>
        <w:rPr>
          <w:rFonts w:hint="default" w:ascii="Times New Roman" w:hAnsi="Times New Roman" w:cs="Times New Roman"/>
          <w:spacing w:val="-1"/>
        </w:rPr>
        <w:t>中共自贡市自流井区委员会办公室为一级预算单位，下设区委党史研究室、保密机要应急管理股、综合行财股、国 家安全管理股、区委政策研究室、文秘信息股、文书档案法规股七个内设机构；下属二级预算单位1个，其中事业单位1个。主要包括：党政网管理中心。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（二）机构职能。</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5"/>
        </w:rPr>
      </w:pPr>
      <w:r>
        <w:rPr>
          <w:rFonts w:hint="default" w:ascii="Times New Roman" w:hAnsi="Times New Roman" w:cs="Times New Roman"/>
          <w:spacing w:val="-5"/>
        </w:rPr>
        <w:t>围绕市委、区委工作部署，开展调查研究，综合分析处理各种信息，为区委决策提供依据或提出建议、意见组织或参与制度区委有关政策、措施及规章制度，起草或组织起草区委综合性工作报告，负责区委重要文件、文稿的修改、把关工作；督促检查中央、省，市、区委重要工作部署的贯彻落实情况，负责中央、省委、市委文件的收发、传递工作， 负责文、电、信件，管理档案和机要通讯工作等。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（三）人员概况。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5"/>
        </w:rPr>
      </w:pPr>
      <w:r>
        <w:rPr>
          <w:rFonts w:hint="default" w:ascii="Times New Roman" w:hAnsi="Times New Roman" w:cs="Times New Roman"/>
          <w:spacing w:val="-5"/>
        </w:rPr>
        <w:t>中共自贡市自流井区委员会办公室区委办现有行政编制18 名，已使用编制数11名，其中领导7名，工作人员3名，现空缺行政编制7名。下属事业单位党政网管理中心现有事业编制6名，已使用编制数2名，现空缺事业编制4名。区委目标绩效办财务同区委办一并收支，区委目标绩效办现有行政编制5名，已使用编制数4名，其中领导3名，工作人员1名，现空缺行政编制1名。</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二、部门财政资金收支情况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（一）部门财政资金收入情况。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2020年财政拨款收入483.4万元，其中：一般公共预算财政拨款收入483.4万元，占本年收入合计的100%。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pPr>
      <w:r>
        <w:rPr>
          <w:rFonts w:hint="eastAsia" w:ascii="楷体" w:hAnsi="楷体" w:eastAsia="楷体" w:cs="楷体"/>
          <w:b/>
          <w:bCs/>
        </w:rPr>
        <w:t>（二）部门财政资金支出情况。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2020年财政拨款支出479.44万元，其中：一般公共预算财政拨款支出479.44万元，占本年支出合计的100%。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三、部门整体预算绩效管理情况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（一）部门预算管理。</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根据预算绩效管理要求，本部门在年初预算编制阶段， 组织项目开展了预算事前绩效评估。本部门按要求对 2020 年部门整体支出开展绩效自评，从评价情况来看，部门支出整体绩效良好，预算编制较为精确、合理，为认真落实中央“八项”规定，切实做到厉行节约，压缩了“三公”经费支出及一般性支出，优化了年初预算安排，保障了运管所机关在经费压缩情况下的高效运转。整体绩效目标涉及总金 489.42万元，从完成的数量、成本、时效、质量等方面进行绩效评价，无违规执行预算的情况。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（二）结果应用情况。无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四、评价结论及建议</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（一）评价结论。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达到了预期的社会效益、经济效益，完成预算的97.96</w:t>
      </w:r>
      <w:r>
        <w:rPr>
          <w:rFonts w:hint="eastAsia" w:ascii="Times New Roman" w:hAnsi="Times New Roman" w:cs="Times New Roman"/>
          <w:spacing w:val="-5"/>
        </w:rPr>
        <w:drawing>
          <wp:inline distT="0" distB="0" distL="0" distR="0">
            <wp:extent cx="85090" cy="154940"/>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cs="Times New Roman"/>
          <w:spacing w:val="-5"/>
        </w:rPr>
        <w:t>。</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（二）存在问题。无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（三）改进建议。无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bookmarkStart w:id="38" w:name="第五部分附表"/>
      <w:bookmarkEnd w:id="38"/>
      <w:bookmarkStart w:id="39" w:name="_bookmark18"/>
      <w:bookmarkEnd w:id="39"/>
      <w:bookmarkStart w:id="40" w:name="附件2"/>
      <w:bookmarkEnd w:id="40"/>
      <w:bookmarkStart w:id="41" w:name="_bookmark17"/>
      <w:bookmarkEnd w:id="41"/>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0"/>
      </w:pPr>
      <w:bookmarkStart w:id="42" w:name="_Toc21452"/>
      <w:r>
        <w:t>第五部分附表</w:t>
      </w:r>
      <w:bookmarkEnd w:id="42"/>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rFonts w:ascii="黑体"/>
          <w:sz w:val="44"/>
        </w:rPr>
      </w:pPr>
    </w:p>
    <w:p>
      <w:pPr>
        <w:pStyle w:val="5"/>
        <w:keepNext w:val="0"/>
        <w:keepLines w:val="0"/>
        <w:pageBreakBefore w:val="0"/>
        <w:widowControl w:val="0"/>
        <w:numPr>
          <w:ilvl w:val="0"/>
          <w:numId w:val="1"/>
        </w:numPr>
        <w:kinsoku/>
        <w:wordWrap/>
        <w:overflowPunct/>
        <w:topLinePunct w:val="0"/>
        <w:autoSpaceDE w:val="0"/>
        <w:autoSpaceDN w:val="0"/>
        <w:bidi w:val="0"/>
        <w:adjustRightInd/>
        <w:snapToGrid/>
        <w:spacing w:before="0" w:line="592" w:lineRule="exact"/>
        <w:ind w:left="0" w:right="0" w:firstLine="632" w:firstLineChars="200"/>
        <w:textAlignment w:val="auto"/>
        <w:outlineLvl w:val="1"/>
        <w:rPr>
          <w:rFonts w:hint="eastAsia" w:ascii="黑体" w:hAnsi="黑体" w:eastAsia="黑体" w:cs="黑体"/>
          <w:spacing w:val="-2"/>
        </w:rPr>
      </w:pPr>
      <w:bookmarkStart w:id="43" w:name="_bookmark19"/>
      <w:bookmarkEnd w:id="43"/>
      <w:bookmarkStart w:id="44" w:name="一、收入支出决算总表"/>
      <w:bookmarkEnd w:id="44"/>
      <w:bookmarkStart w:id="45" w:name="_Toc19760"/>
      <w:r>
        <w:rPr>
          <w:rFonts w:hint="eastAsia" w:ascii="黑体" w:hAnsi="黑体" w:eastAsia="黑体" w:cs="黑体"/>
          <w:spacing w:val="-2"/>
        </w:rPr>
        <w:t>收入支出决算总表</w:t>
      </w:r>
      <w:bookmarkEnd w:id="45"/>
      <w:bookmarkStart w:id="46" w:name="二、收入决算表"/>
      <w:bookmarkEnd w:id="46"/>
      <w:bookmarkStart w:id="47" w:name="_bookmark20"/>
      <w:bookmarkEnd w:id="47"/>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48" w:name="_Toc6951"/>
      <w:r>
        <w:rPr>
          <w:rFonts w:hint="eastAsia" w:ascii="黑体" w:hAnsi="黑体" w:eastAsia="黑体" w:cs="黑体"/>
        </w:rPr>
        <w:t>二、收入决算表</w:t>
      </w:r>
      <w:bookmarkEnd w:id="48"/>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49" w:name="_bookmark21"/>
      <w:bookmarkEnd w:id="49"/>
      <w:bookmarkStart w:id="50" w:name="三、支出决算表"/>
      <w:bookmarkEnd w:id="50"/>
      <w:bookmarkStart w:id="51" w:name="_Toc14157"/>
      <w:r>
        <w:rPr>
          <w:rFonts w:hint="eastAsia" w:ascii="黑体" w:hAnsi="黑体" w:eastAsia="黑体" w:cs="黑体"/>
        </w:rPr>
        <w:t>三、支出决算表</w:t>
      </w:r>
      <w:bookmarkEnd w:id="51"/>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2" w:name="四、财政拨款收入支出决算总表"/>
      <w:bookmarkEnd w:id="52"/>
      <w:bookmarkStart w:id="53" w:name="_bookmark22"/>
      <w:bookmarkEnd w:id="53"/>
      <w:bookmarkStart w:id="54" w:name="_Toc29551"/>
      <w:r>
        <w:rPr>
          <w:rFonts w:hint="eastAsia" w:ascii="黑体" w:hAnsi="黑体" w:eastAsia="黑体" w:cs="黑体"/>
        </w:rPr>
        <w:t>四、财政拨款收入支出决算总表</w:t>
      </w:r>
      <w:bookmarkEnd w:id="54"/>
      <w:bookmarkStart w:id="55" w:name="_bookmark23"/>
      <w:bookmarkEnd w:id="55"/>
      <w:bookmarkStart w:id="56" w:name="五、财政拨款支出决算明细表"/>
      <w:bookmarkEnd w:id="56"/>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7" w:name="_Toc25912"/>
      <w:r>
        <w:rPr>
          <w:rFonts w:hint="eastAsia" w:ascii="黑体" w:hAnsi="黑体" w:eastAsia="黑体" w:cs="黑体"/>
        </w:rPr>
        <w:t>五、财政拨款支出决算明细表</w:t>
      </w:r>
      <w:bookmarkEnd w:id="57"/>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8" w:name="六、一般公共预算财政拨款支出决算表"/>
      <w:bookmarkEnd w:id="58"/>
      <w:bookmarkStart w:id="59" w:name="_bookmark24"/>
      <w:bookmarkEnd w:id="59"/>
      <w:bookmarkStart w:id="60" w:name="_Toc21884"/>
      <w:r>
        <w:rPr>
          <w:rFonts w:hint="eastAsia" w:ascii="黑体" w:hAnsi="黑体" w:eastAsia="黑体" w:cs="黑体"/>
        </w:rPr>
        <w:t>六、一般公共预算财政拨款支出决算表</w:t>
      </w:r>
      <w:bookmarkEnd w:id="60"/>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1" w:name="_bookmark25"/>
      <w:bookmarkEnd w:id="61"/>
      <w:bookmarkStart w:id="62" w:name="七、一般公共预算财政拨款支出决算明细表"/>
      <w:bookmarkEnd w:id="62"/>
      <w:bookmarkStart w:id="63" w:name="_Toc19269"/>
      <w:r>
        <w:rPr>
          <w:rFonts w:hint="eastAsia" w:ascii="黑体" w:hAnsi="黑体" w:eastAsia="黑体" w:cs="黑体"/>
        </w:rPr>
        <w:t>七、一般公共预算财政拨款支出决算明细表</w:t>
      </w:r>
      <w:bookmarkEnd w:id="63"/>
      <w:bookmarkStart w:id="64" w:name="_bookmark26"/>
      <w:bookmarkEnd w:id="64"/>
      <w:bookmarkStart w:id="65" w:name="八、一般公共预算财政拨款基本支出决算表"/>
      <w:bookmarkEnd w:id="65"/>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6" w:name="_Toc4066"/>
      <w:r>
        <w:rPr>
          <w:rFonts w:hint="eastAsia" w:ascii="黑体" w:hAnsi="黑体" w:eastAsia="黑体" w:cs="黑体"/>
        </w:rPr>
        <w:t>八、一般公共预算财政拨款基本支出决算表</w:t>
      </w:r>
      <w:bookmarkEnd w:id="66"/>
      <w:bookmarkStart w:id="67" w:name="_bookmark27"/>
      <w:bookmarkEnd w:id="67"/>
      <w:bookmarkStart w:id="68" w:name="九、一般公共预算财政拨款项目支出决算表"/>
      <w:bookmarkEnd w:id="68"/>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9" w:name="_Toc8977"/>
      <w:r>
        <w:rPr>
          <w:rFonts w:hint="eastAsia" w:ascii="黑体" w:hAnsi="黑体" w:eastAsia="黑体" w:cs="黑体"/>
        </w:rPr>
        <w:t>九、一般公共预算财政拨款项目支出决算表</w:t>
      </w:r>
      <w:bookmarkEnd w:id="69"/>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0" w:name="十、一般公共预算财政拨款“三公”经费支出决算表"/>
      <w:bookmarkEnd w:id="70"/>
      <w:bookmarkStart w:id="71" w:name="_bookmark28"/>
      <w:bookmarkEnd w:id="71"/>
      <w:bookmarkStart w:id="72" w:name="_Toc3484"/>
      <w:r>
        <w:rPr>
          <w:rFonts w:hint="eastAsia" w:ascii="黑体" w:hAnsi="黑体" w:eastAsia="黑体" w:cs="黑体"/>
        </w:rPr>
        <w:t>十、一般公共预算财政拨款“三公”经费支出决算表</w:t>
      </w:r>
      <w:bookmarkEnd w:id="72"/>
      <w:bookmarkStart w:id="73" w:name="十一、政府性基金预算财政拨款收入支出决算表"/>
      <w:bookmarkEnd w:id="73"/>
      <w:bookmarkStart w:id="74" w:name="_bookmark29"/>
      <w:bookmarkEnd w:id="74"/>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5" w:name="_Toc19492"/>
      <w:r>
        <w:rPr>
          <w:rFonts w:hint="eastAsia" w:ascii="黑体" w:hAnsi="黑体" w:eastAsia="黑体" w:cs="黑体"/>
        </w:rPr>
        <w:t>十一、政府性基金预算财政拨款收入支出决算表</w:t>
      </w:r>
      <w:bookmarkEnd w:id="75"/>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6" w:name="_bookmark30"/>
      <w:bookmarkEnd w:id="76"/>
      <w:bookmarkStart w:id="77" w:name="十二、政府性基金预算财政拨款“三公”经费支出决算表"/>
      <w:bookmarkEnd w:id="77"/>
      <w:bookmarkStart w:id="78" w:name="_Toc5826"/>
      <w:r>
        <w:rPr>
          <w:rFonts w:hint="eastAsia" w:ascii="黑体" w:hAnsi="黑体" w:eastAsia="黑体" w:cs="黑体"/>
        </w:rPr>
        <w:t>十二、政府性基金预算财政拨款“三公”经费支出决算表</w:t>
      </w:r>
      <w:bookmarkEnd w:id="78"/>
      <w:bookmarkStart w:id="79" w:name="十三、国有资本经营预算财政拨款收入支出决算表"/>
      <w:bookmarkEnd w:id="79"/>
      <w:bookmarkStart w:id="80" w:name="_bookmark31"/>
      <w:bookmarkEnd w:id="80"/>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81" w:name="_Toc25140"/>
      <w:r>
        <w:rPr>
          <w:rFonts w:hint="eastAsia" w:ascii="黑体" w:hAnsi="黑体" w:eastAsia="黑体" w:cs="黑体"/>
        </w:rPr>
        <w:t>十三、国有资本经营预算财政拨款收入支出决算表</w:t>
      </w:r>
      <w:bookmarkEnd w:id="81"/>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82" w:name="十四、国有资本经营预算财政拨款支出决算表"/>
      <w:bookmarkEnd w:id="82"/>
      <w:bookmarkStart w:id="83" w:name="_bookmark32"/>
      <w:bookmarkEnd w:id="83"/>
      <w:bookmarkStart w:id="84" w:name="_Toc1067"/>
      <w:r>
        <w:rPr>
          <w:rFonts w:hint="eastAsia" w:ascii="黑体" w:hAnsi="黑体" w:eastAsia="黑体" w:cs="黑体"/>
        </w:rPr>
        <w:t>十四、国有资本经营预算财政拨款支出决算表</w:t>
      </w:r>
      <w:bookmarkEnd w:id="84"/>
    </w:p>
    <w:sectPr>
      <w:footerReference r:id="rId8" w:type="default"/>
      <w:pgSz w:w="11910" w:h="16840"/>
      <w:pgMar w:top="2154" w:right="1417" w:bottom="2041" w:left="1531" w:header="0" w:footer="119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
      </w:rPr>
    </w:pPr>
    <w:r>
      <w:rPr>
        <w:sz w:val="2"/>
      </w:rPr>
      <w:pict>
        <v:shape id="_x0000_s2061" o:spid="_x0000_s2061"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
      </w:rPr>
    </w:pPr>
    <w:r>
      <w:rPr>
        <w:sz w:val="2"/>
      </w:rPr>
      <w:pict>
        <v:shape id="_x0000_s2062" o:spid="_x0000_s2062" o:spt="202" type="#_x0000_t202" style="position:absolute;left:0pt;margin-left:425.6pt;margin-top:1.5pt;height:144pt;width:144p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6"/>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rPr>
        <w:sz w:val="20"/>
      </w:rPr>
      <w:pict>
        <v:shape id="_x0000_s2063" o:spid="_x0000_s2063" o:spt="202" type="#_x0000_t202" style="position:absolute;left:0pt;margin-top:0pt;height:144pt;width:144pt;mso-position-horizontal:outside;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rPr>
        <w:sz w:val="20"/>
      </w:rPr>
      <w:pict>
        <v:shape id="_x0000_s2064" o:spid="_x0000_s2064" o:spt="202" type="#_x0000_t202" style="position:absolute;left:0pt;margin-top:0pt;height:144pt;width:144pt;mso-position-horizontal:outside;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19</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89E80C"/>
    <w:multiLevelType w:val="singleLevel"/>
    <w:tmpl w:val="9189E80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OWEyZjhjMDljN2ZmZDI4MDM1OTczNmZkYWIwMTM0OGUifQ=="/>
  </w:docVars>
  <w:rsids>
    <w:rsidRoot w:val="00000000"/>
    <w:rsid w:val="00D779BC"/>
    <w:rsid w:val="01F26996"/>
    <w:rsid w:val="022D1BCE"/>
    <w:rsid w:val="023976A3"/>
    <w:rsid w:val="03DE20F3"/>
    <w:rsid w:val="04244F58"/>
    <w:rsid w:val="04472DF8"/>
    <w:rsid w:val="04B574F8"/>
    <w:rsid w:val="04B64A7E"/>
    <w:rsid w:val="05383DBD"/>
    <w:rsid w:val="056515A7"/>
    <w:rsid w:val="0577092B"/>
    <w:rsid w:val="05D6668E"/>
    <w:rsid w:val="0635675A"/>
    <w:rsid w:val="06905732"/>
    <w:rsid w:val="069552CB"/>
    <w:rsid w:val="07AA0D3A"/>
    <w:rsid w:val="07BA5212"/>
    <w:rsid w:val="07DC537F"/>
    <w:rsid w:val="07F11CEB"/>
    <w:rsid w:val="0983497E"/>
    <w:rsid w:val="09B44918"/>
    <w:rsid w:val="0A4C0B74"/>
    <w:rsid w:val="0A845004"/>
    <w:rsid w:val="0A9C3C41"/>
    <w:rsid w:val="0B5F1B77"/>
    <w:rsid w:val="0B924A77"/>
    <w:rsid w:val="0D6F318F"/>
    <w:rsid w:val="0FF7679A"/>
    <w:rsid w:val="104E1F4E"/>
    <w:rsid w:val="113837CD"/>
    <w:rsid w:val="11A71F63"/>
    <w:rsid w:val="11A93C63"/>
    <w:rsid w:val="11F85983"/>
    <w:rsid w:val="12035A07"/>
    <w:rsid w:val="121D4375"/>
    <w:rsid w:val="128E3F02"/>
    <w:rsid w:val="12AF0A22"/>
    <w:rsid w:val="13375AE4"/>
    <w:rsid w:val="13991A8C"/>
    <w:rsid w:val="14134EBE"/>
    <w:rsid w:val="14151024"/>
    <w:rsid w:val="14AA6D66"/>
    <w:rsid w:val="14CF623C"/>
    <w:rsid w:val="155C4C28"/>
    <w:rsid w:val="15A20227"/>
    <w:rsid w:val="160457F4"/>
    <w:rsid w:val="164600CC"/>
    <w:rsid w:val="16C40884"/>
    <w:rsid w:val="17C95975"/>
    <w:rsid w:val="18295691"/>
    <w:rsid w:val="18CB773B"/>
    <w:rsid w:val="1908331D"/>
    <w:rsid w:val="195C5C31"/>
    <w:rsid w:val="1A6E256B"/>
    <w:rsid w:val="1AF022C0"/>
    <w:rsid w:val="1B727505"/>
    <w:rsid w:val="1BEA2D5B"/>
    <w:rsid w:val="1BFE58C5"/>
    <w:rsid w:val="1C6F7740"/>
    <w:rsid w:val="1D530C7D"/>
    <w:rsid w:val="1E0243D2"/>
    <w:rsid w:val="1E1129DA"/>
    <w:rsid w:val="1E127068"/>
    <w:rsid w:val="1F244029"/>
    <w:rsid w:val="208070AE"/>
    <w:rsid w:val="208A3E5D"/>
    <w:rsid w:val="20A20901"/>
    <w:rsid w:val="20E90B8D"/>
    <w:rsid w:val="217472DE"/>
    <w:rsid w:val="22411A5B"/>
    <w:rsid w:val="22721A61"/>
    <w:rsid w:val="23326277"/>
    <w:rsid w:val="237B7DF3"/>
    <w:rsid w:val="23AF726E"/>
    <w:rsid w:val="23C06F33"/>
    <w:rsid w:val="245661CA"/>
    <w:rsid w:val="251F6135"/>
    <w:rsid w:val="25B508B9"/>
    <w:rsid w:val="25D728C0"/>
    <w:rsid w:val="25E92761"/>
    <w:rsid w:val="26071543"/>
    <w:rsid w:val="26416241"/>
    <w:rsid w:val="27551A86"/>
    <w:rsid w:val="27E47572"/>
    <w:rsid w:val="27F51DBA"/>
    <w:rsid w:val="27FC155E"/>
    <w:rsid w:val="282D1ACD"/>
    <w:rsid w:val="283A2135"/>
    <w:rsid w:val="284B3BC6"/>
    <w:rsid w:val="2956143D"/>
    <w:rsid w:val="2A7025A4"/>
    <w:rsid w:val="2ACA274C"/>
    <w:rsid w:val="2CAD5199"/>
    <w:rsid w:val="2D090A00"/>
    <w:rsid w:val="2D675E34"/>
    <w:rsid w:val="2E72315C"/>
    <w:rsid w:val="2E9774DC"/>
    <w:rsid w:val="2EC73366"/>
    <w:rsid w:val="2ED449DD"/>
    <w:rsid w:val="2F4C4354"/>
    <w:rsid w:val="2FD63901"/>
    <w:rsid w:val="30126165"/>
    <w:rsid w:val="30EB3B89"/>
    <w:rsid w:val="31EB11BF"/>
    <w:rsid w:val="328E083B"/>
    <w:rsid w:val="32CD6714"/>
    <w:rsid w:val="33614907"/>
    <w:rsid w:val="336D33AA"/>
    <w:rsid w:val="33AB1C16"/>
    <w:rsid w:val="340D61CD"/>
    <w:rsid w:val="34CC6681"/>
    <w:rsid w:val="34E404B6"/>
    <w:rsid w:val="35050E48"/>
    <w:rsid w:val="35751998"/>
    <w:rsid w:val="35DA6AAA"/>
    <w:rsid w:val="35F51171"/>
    <w:rsid w:val="36D245C3"/>
    <w:rsid w:val="37164FCA"/>
    <w:rsid w:val="3729447F"/>
    <w:rsid w:val="38324B63"/>
    <w:rsid w:val="394B4EDC"/>
    <w:rsid w:val="3B701F79"/>
    <w:rsid w:val="3BFF2436"/>
    <w:rsid w:val="3CA0098B"/>
    <w:rsid w:val="3CCE7A8F"/>
    <w:rsid w:val="3E4847BC"/>
    <w:rsid w:val="3F7226B9"/>
    <w:rsid w:val="3F7F799B"/>
    <w:rsid w:val="40A84E4B"/>
    <w:rsid w:val="410A62D5"/>
    <w:rsid w:val="423B6B2B"/>
    <w:rsid w:val="42576C62"/>
    <w:rsid w:val="42CB3316"/>
    <w:rsid w:val="43003D64"/>
    <w:rsid w:val="431F0796"/>
    <w:rsid w:val="4363278D"/>
    <w:rsid w:val="43E3475B"/>
    <w:rsid w:val="4446249C"/>
    <w:rsid w:val="44EF3FD1"/>
    <w:rsid w:val="45EB0A38"/>
    <w:rsid w:val="464D4CA7"/>
    <w:rsid w:val="46922533"/>
    <w:rsid w:val="476F0D8E"/>
    <w:rsid w:val="48667653"/>
    <w:rsid w:val="48B2162B"/>
    <w:rsid w:val="48D65CE6"/>
    <w:rsid w:val="49621DDF"/>
    <w:rsid w:val="4A282103"/>
    <w:rsid w:val="4A7B35D0"/>
    <w:rsid w:val="4AD358BE"/>
    <w:rsid w:val="4AF26559"/>
    <w:rsid w:val="4CE5018F"/>
    <w:rsid w:val="4DC80591"/>
    <w:rsid w:val="4E5D3917"/>
    <w:rsid w:val="4E924F42"/>
    <w:rsid w:val="4EA0752B"/>
    <w:rsid w:val="4F2B5DCC"/>
    <w:rsid w:val="4F6F33DE"/>
    <w:rsid w:val="4F99271D"/>
    <w:rsid w:val="4FB541B4"/>
    <w:rsid w:val="50076843"/>
    <w:rsid w:val="50DC24A9"/>
    <w:rsid w:val="50E27694"/>
    <w:rsid w:val="518B6549"/>
    <w:rsid w:val="52DB51E3"/>
    <w:rsid w:val="54364BD1"/>
    <w:rsid w:val="55F97104"/>
    <w:rsid w:val="571A483D"/>
    <w:rsid w:val="57B60D2F"/>
    <w:rsid w:val="58691CEA"/>
    <w:rsid w:val="58AC2CD0"/>
    <w:rsid w:val="58FD43FD"/>
    <w:rsid w:val="58FF40F1"/>
    <w:rsid w:val="595B51E4"/>
    <w:rsid w:val="5A18753D"/>
    <w:rsid w:val="5A5B1C29"/>
    <w:rsid w:val="5A811EBE"/>
    <w:rsid w:val="5AB61AF7"/>
    <w:rsid w:val="5ABF5EBB"/>
    <w:rsid w:val="5ACA4605"/>
    <w:rsid w:val="5B4D13DE"/>
    <w:rsid w:val="5B6C411E"/>
    <w:rsid w:val="5C1B68C0"/>
    <w:rsid w:val="5C2632F7"/>
    <w:rsid w:val="5D166C7E"/>
    <w:rsid w:val="5E192411"/>
    <w:rsid w:val="5E3F4CE7"/>
    <w:rsid w:val="5E597785"/>
    <w:rsid w:val="5F06253D"/>
    <w:rsid w:val="5F296CFF"/>
    <w:rsid w:val="60BC7638"/>
    <w:rsid w:val="618E5E31"/>
    <w:rsid w:val="61BF3561"/>
    <w:rsid w:val="61D45C00"/>
    <w:rsid w:val="61F62B25"/>
    <w:rsid w:val="622F4911"/>
    <w:rsid w:val="62436A1E"/>
    <w:rsid w:val="63F3688A"/>
    <w:rsid w:val="64067AAA"/>
    <w:rsid w:val="64DA367B"/>
    <w:rsid w:val="6592739A"/>
    <w:rsid w:val="65953340"/>
    <w:rsid w:val="65B71508"/>
    <w:rsid w:val="6675740F"/>
    <w:rsid w:val="66C50451"/>
    <w:rsid w:val="66E5373F"/>
    <w:rsid w:val="66F74CAA"/>
    <w:rsid w:val="674B0C2D"/>
    <w:rsid w:val="68C40467"/>
    <w:rsid w:val="68E77902"/>
    <w:rsid w:val="69075070"/>
    <w:rsid w:val="69085463"/>
    <w:rsid w:val="696A3F71"/>
    <w:rsid w:val="69D579EC"/>
    <w:rsid w:val="69FF4345"/>
    <w:rsid w:val="6A010FA4"/>
    <w:rsid w:val="6A0E4BF4"/>
    <w:rsid w:val="6AAB1C27"/>
    <w:rsid w:val="6AAC3883"/>
    <w:rsid w:val="6B915026"/>
    <w:rsid w:val="6BCF4B2C"/>
    <w:rsid w:val="6C791CDF"/>
    <w:rsid w:val="6C8574C7"/>
    <w:rsid w:val="6C9472C6"/>
    <w:rsid w:val="6CD107D5"/>
    <w:rsid w:val="6D906A50"/>
    <w:rsid w:val="6EF975AD"/>
    <w:rsid w:val="6F527E4A"/>
    <w:rsid w:val="70E81CF8"/>
    <w:rsid w:val="71D1444C"/>
    <w:rsid w:val="720A3720"/>
    <w:rsid w:val="72535CB3"/>
    <w:rsid w:val="72DD396D"/>
    <w:rsid w:val="72E66DA3"/>
    <w:rsid w:val="739869BD"/>
    <w:rsid w:val="739D414C"/>
    <w:rsid w:val="73EF3D7E"/>
    <w:rsid w:val="74334D8D"/>
    <w:rsid w:val="7474677B"/>
    <w:rsid w:val="74C26893"/>
    <w:rsid w:val="74E06F7E"/>
    <w:rsid w:val="75671015"/>
    <w:rsid w:val="75CE7B37"/>
    <w:rsid w:val="762842DC"/>
    <w:rsid w:val="76404C02"/>
    <w:rsid w:val="76AB6FB1"/>
    <w:rsid w:val="76FA7440"/>
    <w:rsid w:val="77964366"/>
    <w:rsid w:val="77FE1489"/>
    <w:rsid w:val="784529A4"/>
    <w:rsid w:val="7857504A"/>
    <w:rsid w:val="791E4FA3"/>
    <w:rsid w:val="79705FD0"/>
    <w:rsid w:val="798922B6"/>
    <w:rsid w:val="7AF05B9B"/>
    <w:rsid w:val="7B313CEB"/>
    <w:rsid w:val="7B773956"/>
    <w:rsid w:val="7C372603"/>
    <w:rsid w:val="7C510CBF"/>
    <w:rsid w:val="7C9C3264"/>
    <w:rsid w:val="7CAC20C0"/>
    <w:rsid w:val="7D114E61"/>
    <w:rsid w:val="7E626AF6"/>
    <w:rsid w:val="7F031A27"/>
    <w:rsid w:val="7F1A39AC"/>
    <w:rsid w:val="7FC235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ind w:left="1131" w:right="1131"/>
      <w:jc w:val="center"/>
      <w:outlineLvl w:val="1"/>
    </w:pPr>
    <w:rPr>
      <w:rFonts w:ascii="黑体" w:hAnsi="黑体" w:eastAsia="黑体" w:cs="黑体"/>
      <w:sz w:val="44"/>
      <w:szCs w:val="44"/>
      <w:lang w:val="zh-CN" w:eastAsia="zh-CN" w:bidi="zh-CN"/>
    </w:rPr>
  </w:style>
  <w:style w:type="paragraph" w:styleId="3">
    <w:name w:val="heading 2"/>
    <w:basedOn w:val="1"/>
    <w:next w:val="1"/>
    <w:qFormat/>
    <w:uiPriority w:val="1"/>
    <w:pPr>
      <w:ind w:left="1131" w:right="1131"/>
      <w:jc w:val="center"/>
      <w:outlineLvl w:val="2"/>
    </w:pPr>
    <w:rPr>
      <w:rFonts w:ascii="方正小标宋简体" w:hAnsi="方正小标宋简体" w:eastAsia="方正小标宋简体" w:cs="方正小标宋简体"/>
      <w:i/>
      <w:sz w:val="44"/>
      <w:szCs w:val="44"/>
      <w:lang w:val="zh-CN" w:eastAsia="zh-CN" w:bidi="zh-CN"/>
    </w:rPr>
  </w:style>
  <w:style w:type="paragraph" w:styleId="4">
    <w:name w:val="heading 3"/>
    <w:basedOn w:val="1"/>
    <w:next w:val="1"/>
    <w:qFormat/>
    <w:uiPriority w:val="1"/>
    <w:pPr>
      <w:spacing w:before="190"/>
      <w:ind w:left="1660"/>
      <w:outlineLvl w:val="3"/>
    </w:pPr>
    <w:rPr>
      <w:rFonts w:ascii="微软雅黑" w:hAnsi="微软雅黑" w:eastAsia="微软雅黑" w:cs="微软雅黑"/>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ind w:left="940"/>
    </w:pPr>
    <w:rPr>
      <w:rFonts w:ascii="仿宋_GB2312" w:hAnsi="仿宋_GB2312" w:eastAsia="仿宋_GB2312" w:cs="仿宋_GB2312"/>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320"/>
      <w:ind w:right="938"/>
      <w:jc w:val="right"/>
    </w:pPr>
    <w:rPr>
      <w:rFonts w:ascii="仿宋_GB2312" w:hAnsi="仿宋_GB2312" w:eastAsia="仿宋_GB2312" w:cs="仿宋_GB2312"/>
      <w:sz w:val="28"/>
      <w:szCs w:val="28"/>
      <w:lang w:val="zh-CN" w:eastAsia="zh-CN" w:bidi="zh-CN"/>
    </w:rPr>
  </w:style>
  <w:style w:type="paragraph" w:styleId="9">
    <w:name w:val="toc 2"/>
    <w:basedOn w:val="1"/>
    <w:next w:val="1"/>
    <w:qFormat/>
    <w:uiPriority w:val="1"/>
    <w:pPr>
      <w:spacing w:before="321"/>
      <w:ind w:left="1240"/>
    </w:pPr>
    <w:rPr>
      <w:rFonts w:ascii="仿宋_GB2312" w:hAnsi="仿宋_GB2312" w:eastAsia="仿宋_GB2312" w:cs="仿宋_GB2312"/>
      <w:sz w:val="28"/>
      <w:szCs w:val="28"/>
      <w:lang w:val="zh-CN" w:eastAsia="zh-CN" w:bidi="zh-CN"/>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940" w:firstLine="640"/>
    </w:pPr>
    <w:rPr>
      <w:rFonts w:ascii="微软雅黑" w:hAnsi="微软雅黑" w:eastAsia="微软雅黑" w:cs="微软雅黑"/>
      <w:lang w:val="zh-CN" w:eastAsia="zh-CN" w:bidi="zh-CN"/>
    </w:rPr>
  </w:style>
  <w:style w:type="paragraph" w:customStyle="1" w:styleId="14">
    <w:name w:val="Table Paragraph"/>
    <w:basedOn w:val="1"/>
    <w:qFormat/>
    <w:uiPriority w:val="1"/>
    <w:rPr>
      <w:rFonts w:ascii="仿宋_GB2312" w:hAnsi="仿宋_GB2312" w:eastAsia="仿宋_GB2312" w:cs="仿宋_GB2312"/>
      <w:lang w:val="zh-CN" w:eastAsia="zh-CN" w:bidi="zh-CN"/>
    </w:rPr>
  </w:style>
  <w:style w:type="paragraph" w:customStyle="1" w:styleId="15">
    <w:name w:val="WPSOffice手动目录 3"/>
    <w:uiPriority w:val="0"/>
    <w:pPr>
      <w:ind w:leftChars="400"/>
    </w:pPr>
    <w:rPr>
      <w:rFonts w:asciiTheme="minorHAnsi" w:hAnsiTheme="minorHAnsi" w:eastAsiaTheme="minorHAnsi" w:cstheme="minorBidi"/>
      <w:sz w:val="20"/>
      <w:szCs w:val="20"/>
    </w:rPr>
  </w:style>
  <w:style w:type="paragraph" w:customStyle="1" w:styleId="16">
    <w:name w:val="WPSOffice手动目录 1"/>
    <w:uiPriority w:val="0"/>
    <w:pPr>
      <w:ind w:leftChars="0"/>
    </w:pPr>
    <w:rPr>
      <w:rFonts w:asciiTheme="minorHAnsi" w:hAnsiTheme="minorHAnsi" w:eastAsiaTheme="minorHAnsi" w:cstheme="minorBidi"/>
      <w:sz w:val="20"/>
      <w:szCs w:val="20"/>
    </w:rPr>
  </w:style>
  <w:style w:type="paragraph" w:customStyle="1" w:styleId="17">
    <w:name w:val="WPSOffice手动目录 2"/>
    <w:uiPriority w:val="0"/>
    <w:pPr>
      <w:ind w:leftChars="2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Info spid="_x0000_s2062" textRotate="1"/>
    <customShpInfo spid="_x0000_s2063" textRotate="1"/>
    <customShpInfo spid="_x0000_s206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6835</Words>
  <Characters>7339</Characters>
  <TotalTime>3</TotalTime>
  <ScaleCrop>false</ScaleCrop>
  <LinksUpToDate>false</LinksUpToDate>
  <CharactersWithSpaces>7497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2022-05-19T02:24:00Z</dcterms:created>
  <dc:creator>Administrator</dc:creator>
  <cp:lastModifiedBy>Master'霖</cp:lastModifiedBy>
  <dcterms:modified xsi:type="dcterms:W3CDTF">2022-05-30T02:33:24Z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2021-10-18T00:00:00Z</vt:filetime>
  </property>
  <property fmtid="{D5CDD505-2E9C-101B-9397-08002B2CF9AE}" pid="3" name="Creator">
    <vt:lpwstr>WPS 文字</vt:lpwstr>
  </property>
  <property fmtid="{D5CDD505-2E9C-101B-9397-08002B2CF9AE}" pid="4" name="LastSaved">
    <vt:filetime>2022-05-19T00:00:00Z</vt:filetime>
  </property>
  <property fmtid="{D5CDD505-2E9C-101B-9397-08002B2CF9AE}" pid="5" name="KSOProductBuildVer">
    <vt:lpwstr>2052-11.1.0.11744</vt:lpwstr>
  </property>
  <property fmtid="{D5CDD505-2E9C-101B-9397-08002B2CF9AE}" pid="6" name="ICV">
    <vt:lpwstr>011A4256997242D697BE89A0B609C422</vt:lpwstr>
  </property>
</Properties>
</file>