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方正小标宋简体" w:eastAsia="方正小标宋简体"/>
          <w:sz w:val="44"/>
          <w:szCs w:val="44"/>
          <w:lang w:val="en-US" w:eastAsia="zh-CN"/>
        </w:rPr>
      </w:pPr>
      <w:bookmarkStart w:id="87" w:name="_GoBack"/>
      <w:bookmarkEnd w:id="87"/>
      <w:r>
        <w:rPr>
          <w:rFonts w:hint="eastAsia" w:ascii="方正小标宋简体" w:eastAsia="方正小标宋简体"/>
          <w:sz w:val="44"/>
          <w:szCs w:val="44"/>
          <w:lang w:val="en-US" w:eastAsia="zh-CN"/>
        </w:rPr>
        <w:t>自贡市自流井区财政投资评审中心</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2020</w:t>
      </w:r>
      <w:r>
        <w:rPr>
          <w:rFonts w:hint="eastAsia" w:ascii="方正小标宋简体" w:eastAsia="方正小标宋简体"/>
          <w:sz w:val="44"/>
          <w:szCs w:val="44"/>
        </w:rPr>
        <w:t>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w:t>
      </w:r>
      <w:r>
        <w:rPr>
          <w:rFonts w:hint="eastAsia" w:ascii="黑体" w:hAnsi="黑体" w:eastAsia="黑体"/>
          <w:color w:val="000000"/>
          <w:sz w:val="44"/>
          <w:szCs w:val="44"/>
          <w:lang w:val="en-US" w:eastAsia="zh-CN"/>
        </w:rPr>
        <w:t xml:space="preserve"> </w:t>
      </w:r>
      <w:r>
        <w:rPr>
          <w:rFonts w:hint="eastAsia" w:ascii="黑体" w:hAnsi="黑体" w:eastAsia="黑体"/>
          <w:color w:val="000000"/>
          <w:sz w:val="44"/>
          <w:szCs w:val="44"/>
        </w:rPr>
        <w:t>录</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_Toc10567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_Toc21498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一、基本职能及主要工作</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_Toc21498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_Toc6092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二、机构设置</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_Toc6092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_Toc23109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_Toc7163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 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_Toc7163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_Toc25258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 收入决算情况说明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_Toc25258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_Toc13725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 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_Toc13725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_Toc10354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_Toc10354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_Toc10967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五、一般公共预算财政拨款支出决算情况说明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_Toc10967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_Toc31021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六、一般公共预算财政拨款基本支出决算情况说明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_Toc31021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_Toc6926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七、“三公”经费财政拨款支出决算情况说明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_Toc6926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_Toc9843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八、政府性基金预算支出决算情况说明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_Toc9843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_Toc10775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 国有资本经营预算支出决算情况说明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_Toc10775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十、其他重要事项的情况说明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_Toc738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_Toc3536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caps/>
          <w:sz w:val="28"/>
          <w:szCs w:val="28"/>
        </w:rPr>
        <w:sectPr>
          <w:footerReference r:id="rId3" w:type="default"/>
          <w:pgSz w:w="11906" w:h="16838"/>
          <w:pgMar w:top="1440" w:right="1800" w:bottom="1440" w:left="1800" w:header="851" w:footer="992" w:gutter="0"/>
          <w:pgNumType w:fmt="decimal"/>
          <w:cols w:space="425" w:num="1"/>
          <w:docGrid w:type="lines" w:linePitch="312" w:charSpace="0"/>
        </w:sectPr>
      </w:pP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_Toc32283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w:t>
      </w:r>
      <w:r>
        <w:rPr>
          <w:rFonts w:hint="eastAsia" w:ascii="仿宋_GB2312" w:hAnsi="仿宋_GB2312" w:eastAsia="仿宋_GB2312" w:cs="仿宋_GB2312"/>
          <w:b w:val="0"/>
          <w:bCs w:val="0"/>
          <w:i w:val="0"/>
          <w:iCs w:val="0"/>
          <w:sz w:val="28"/>
          <w:szCs w:val="28"/>
          <w:lang w:eastAsia="zh-CN"/>
        </w:rPr>
        <w:t>四</w:t>
      </w:r>
      <w:r>
        <w:rPr>
          <w:rFonts w:hint="eastAsia" w:ascii="仿宋_GB2312" w:hAnsi="仿宋_GB2312" w:eastAsia="仿宋_GB2312" w:cs="仿宋_GB2312"/>
          <w:b w:val="0"/>
          <w:bCs w:val="0"/>
          <w:i w:val="0"/>
          <w:iCs w:val="0"/>
          <w:sz w:val="28"/>
          <w:szCs w:val="28"/>
        </w:rPr>
        <w:t>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_Toc32283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_Toc15699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_Toc15699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_Toc27106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二、收入决算表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_Toc27106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_Toc26817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_Toc21747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_Toc21747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_Toc12959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_Toc12959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_Toc23749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_Toc23749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_Toc22275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七、一般公共预算财政拨款支出决算明细表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_Toc22275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_Toc30634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八、一般公共预算财政拨款基本支出决算表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_Toc30634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_Toc15170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九、一般公共预算财政拨款项目支出决算表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_Toc15170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_Toc17603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十、一般公共预算财政拨款“三公”经费支出决算表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_Toc17603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_Toc7313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十一、政府性基金预算财政拨款收入支出决算表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_Toc7313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_Toc9382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十二、政府性基金预算财政拨款“三公”经费支出决算表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_Toc9382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_Toc22683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十三、国有资本经营预算财政拨款收入支出决算表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_Toc22683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_Toc10257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十四、国有资本经营预算财政拨款支出决算表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_Toc10257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2100" w:firstLineChars="750"/>
        <w:textAlignment w:val="auto"/>
        <w:rPr>
          <w:rFonts w:hint="eastAsia" w:ascii="仿宋_GB2312" w:hAnsi="仿宋"/>
          <w:color w:val="FF0000"/>
          <w:szCs w:val="32"/>
        </w:rPr>
      </w:pPr>
      <w:r>
        <w:rPr>
          <w:rFonts w:hint="eastAsia" w:ascii="仿宋_GB2312" w:hAnsi="仿宋_GB2312" w:eastAsia="仿宋_GB2312" w:cs="仿宋_GB2312"/>
          <w:b w:val="0"/>
          <w:bCs w:val="0"/>
          <w:i w:val="0"/>
          <w:iCs w:val="0"/>
          <w:caps/>
          <w:sz w:val="28"/>
          <w:szCs w:val="28"/>
        </w:rPr>
        <w:fldChar w:fldCharType="end"/>
      </w:r>
    </w:p>
    <w:p>
      <w:r>
        <w:br w:type="page"/>
      </w:r>
    </w:p>
    <w:p>
      <w:pPr>
        <w:pStyle w:val="3"/>
        <w:jc w:val="center"/>
        <w:rPr>
          <w:rStyle w:val="16"/>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6"/>
          <w:rFonts w:hint="eastAsia" w:ascii="黑体" w:hAnsi="黑体" w:eastAsia="黑体"/>
          <w:b w:val="0"/>
          <w:bCs w:val="0"/>
        </w:rPr>
        <w:t>部门概况</w:t>
      </w:r>
      <w:bookmarkEnd w:id="0"/>
    </w:p>
    <w:p>
      <w:pPr>
        <w:widowControl/>
        <w:jc w:val="left"/>
        <w:rPr>
          <w:rFonts w:ascii="黑体" w:eastAsia="黑体"/>
          <w:color w:val="000000"/>
          <w:sz w:val="32"/>
          <w:szCs w:val="32"/>
        </w:rPr>
      </w:pPr>
    </w:p>
    <w:p>
      <w:pPr>
        <w:pStyle w:val="4"/>
        <w:rPr>
          <w:rStyle w:val="17"/>
          <w:rFonts w:ascii="仿宋" w:hAnsi="仿宋" w:eastAsia="仿宋"/>
          <w:b w:val="0"/>
          <w:bCs w:val="0"/>
        </w:rPr>
      </w:pPr>
      <w:bookmarkStart w:id="1" w:name="_Toc15396600"/>
      <w:bookmarkStart w:id="2" w:name="_Toc15377197"/>
      <w:bookmarkStart w:id="3" w:name="_Toc21498"/>
      <w:r>
        <w:rPr>
          <w:rFonts w:hint="eastAsia" w:ascii="黑体" w:hAnsi="黑体" w:eastAsia="黑体"/>
          <w:b w:val="0"/>
          <w:color w:val="000000"/>
        </w:rPr>
        <w:t>一、基</w:t>
      </w:r>
      <w:r>
        <w:rPr>
          <w:rStyle w:val="17"/>
          <w:rFonts w:hint="eastAsia" w:ascii="黑体" w:hAnsi="黑体" w:eastAsia="黑体"/>
          <w:b w:val="0"/>
          <w:bCs w:val="0"/>
        </w:rPr>
        <w:t>本职能及主要工作</w:t>
      </w:r>
      <w:bookmarkEnd w:id="1"/>
      <w:bookmarkEnd w:id="2"/>
      <w:bookmarkEnd w:id="3"/>
    </w:p>
    <w:p>
      <w:pPr>
        <w:pStyle w:val="5"/>
        <w:adjustRightInd w:val="0"/>
        <w:snapToGrid w:val="0"/>
        <w:spacing w:before="93" w:line="600" w:lineRule="exact"/>
        <w:ind w:firstLine="672" w:firstLineChars="210"/>
        <w:outlineLvl w:val="2"/>
        <w:rPr>
          <w:rFonts w:hint="eastAsia" w:ascii="仿宋" w:hAnsi="仿宋" w:eastAsia="仿宋"/>
          <w:bCs/>
          <w:color w:val="auto"/>
          <w:sz w:val="32"/>
          <w:szCs w:val="32"/>
        </w:rPr>
      </w:pPr>
      <w:bookmarkStart w:id="4" w:name="_Toc15378445"/>
      <w:bookmarkStart w:id="5" w:name="_Toc15377198"/>
      <w:r>
        <w:rPr>
          <w:rFonts w:hint="eastAsia" w:ascii="仿宋" w:hAnsi="仿宋" w:eastAsia="仿宋"/>
          <w:bCs/>
          <w:color w:val="000000"/>
          <w:sz w:val="32"/>
          <w:szCs w:val="32"/>
        </w:rPr>
        <w:t>（一）主要职能。</w:t>
      </w:r>
      <w:r>
        <w:rPr>
          <w:rFonts w:hint="eastAsia" w:ascii="仿宋" w:hAnsi="仿宋" w:eastAsia="仿宋"/>
          <w:bCs/>
          <w:color w:val="auto"/>
          <w:sz w:val="32"/>
          <w:szCs w:val="32"/>
        </w:rPr>
        <w:t>（职能参照批准的三定方案）</w:t>
      </w:r>
      <w:bookmarkEnd w:id="4"/>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b/>
          <w:color w:val="000000"/>
          <w:sz w:val="32"/>
          <w:szCs w:val="32"/>
          <w:highlight w:val="none"/>
        </w:rPr>
      </w:pPr>
      <w:r>
        <w:rPr>
          <w:rFonts w:hint="eastAsia" w:ascii="仿宋_GB2312" w:eastAsia="仿宋_GB2312"/>
          <w:color w:val="000000"/>
          <w:sz w:val="32"/>
          <w:szCs w:val="32"/>
          <w:highlight w:val="none"/>
          <w:lang w:val="en-US" w:eastAsia="zh-CN"/>
        </w:rPr>
        <w:t>1、</w:t>
      </w:r>
      <w:r>
        <w:rPr>
          <w:rFonts w:hint="eastAsia" w:ascii="仿宋_GB2312" w:eastAsia="仿宋_GB2312"/>
          <w:color w:val="000000"/>
          <w:sz w:val="32"/>
          <w:szCs w:val="32"/>
          <w:highlight w:val="none"/>
        </w:rPr>
        <w:t>评审经区</w:t>
      </w:r>
      <w:r>
        <w:rPr>
          <w:rFonts w:hint="eastAsia" w:ascii="仿宋_GB2312" w:hAnsi="仿宋_GB2312" w:eastAsia="仿宋_GB2312"/>
          <w:color w:val="000000"/>
          <w:sz w:val="32"/>
          <w:szCs w:val="32"/>
          <w:highlight w:val="none"/>
        </w:rPr>
        <w:t>发改局立项的所有建设项目的工程预算。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2、</w:t>
      </w:r>
      <w:r>
        <w:rPr>
          <w:rFonts w:hint="eastAsia" w:ascii="仿宋_GB2312" w:eastAsia="仿宋_GB2312"/>
          <w:color w:val="000000"/>
          <w:sz w:val="32"/>
          <w:szCs w:val="32"/>
          <w:highlight w:val="none"/>
        </w:rPr>
        <w:t>评审财政预算内各项建设资金安排的建设项目</w:t>
      </w:r>
      <w:r>
        <w:rPr>
          <w:rFonts w:hint="eastAsia" w:ascii="仿宋_GB2312" w:hAnsi="仿宋_GB2312" w:eastAsia="仿宋_GB2312"/>
          <w:color w:val="000000"/>
          <w:sz w:val="32"/>
          <w:szCs w:val="32"/>
          <w:highlight w:val="none"/>
        </w:rPr>
        <w:t>工程预算。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3、</w:t>
      </w:r>
      <w:r>
        <w:rPr>
          <w:rFonts w:hint="eastAsia" w:ascii="仿宋_GB2312" w:eastAsia="仿宋_GB2312"/>
          <w:color w:val="000000"/>
          <w:sz w:val="32"/>
          <w:szCs w:val="32"/>
          <w:highlight w:val="none"/>
        </w:rPr>
        <w:t>评审</w:t>
      </w:r>
      <w:r>
        <w:rPr>
          <w:rFonts w:hint="eastAsia" w:ascii="仿宋_GB2312" w:hAnsi="仿宋_GB2312" w:eastAsia="仿宋_GB2312"/>
          <w:color w:val="000000"/>
          <w:sz w:val="32"/>
          <w:szCs w:val="32"/>
          <w:highlight w:val="none"/>
        </w:rPr>
        <w:t>政府性基金安排的建设项目工程预算。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评审</w:t>
      </w:r>
      <w:r>
        <w:rPr>
          <w:rFonts w:hint="eastAsia" w:ascii="仿宋_GB2312" w:hAnsi="仿宋_GB2312" w:eastAsia="仿宋_GB2312"/>
          <w:color w:val="000000"/>
          <w:sz w:val="32"/>
          <w:szCs w:val="32"/>
          <w:highlight w:val="none"/>
        </w:rPr>
        <w:t>纳入财政预算外专户管理的预算外资金安排的建设项目工程预算。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5、</w:t>
      </w:r>
      <w:r>
        <w:rPr>
          <w:rFonts w:hint="eastAsia" w:ascii="仿宋_GB2312" w:eastAsia="仿宋_GB2312"/>
          <w:color w:val="000000"/>
          <w:sz w:val="32"/>
          <w:szCs w:val="32"/>
          <w:highlight w:val="none"/>
        </w:rPr>
        <w:t>评审</w:t>
      </w:r>
      <w:r>
        <w:rPr>
          <w:rFonts w:hint="eastAsia" w:ascii="仿宋_GB2312" w:hAnsi="仿宋_GB2312" w:eastAsia="仿宋_GB2312"/>
          <w:color w:val="000000"/>
          <w:sz w:val="32"/>
          <w:szCs w:val="32"/>
          <w:highlight w:val="none"/>
        </w:rPr>
        <w:t>政府性融资安排的建设项目工程预算。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6、</w:t>
      </w:r>
      <w:r>
        <w:rPr>
          <w:rFonts w:hint="eastAsia" w:ascii="仿宋_GB2312" w:eastAsia="仿宋_GB2312"/>
          <w:color w:val="000000"/>
          <w:sz w:val="32"/>
          <w:szCs w:val="32"/>
          <w:highlight w:val="none"/>
        </w:rPr>
        <w:t>评审</w:t>
      </w:r>
      <w:r>
        <w:rPr>
          <w:rFonts w:hint="eastAsia" w:ascii="仿宋_GB2312" w:hAnsi="仿宋_GB2312" w:eastAsia="仿宋_GB2312"/>
          <w:color w:val="000000"/>
          <w:sz w:val="32"/>
          <w:szCs w:val="32"/>
          <w:highlight w:val="none"/>
        </w:rPr>
        <w:t>重大建设项目财政监管和资金拨付的专业审核工作审查工程变更(工程量增加或减少）的建设项目。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sz w:val="32"/>
          <w:szCs w:val="32"/>
          <w:highlight w:val="none"/>
        </w:rPr>
      </w:pPr>
      <w:r>
        <w:rPr>
          <w:rFonts w:hint="eastAsia" w:ascii="仿宋_GB2312" w:hAnsi="仿宋_GB2312" w:eastAsia="仿宋_GB2312"/>
          <w:color w:val="000000"/>
          <w:sz w:val="32"/>
          <w:szCs w:val="32"/>
          <w:highlight w:val="none"/>
          <w:lang w:val="en-US" w:eastAsia="zh-CN"/>
        </w:rPr>
        <w:t>7、</w:t>
      </w:r>
      <w:r>
        <w:rPr>
          <w:rFonts w:hint="eastAsia" w:ascii="仿宋_GB2312" w:hAnsi="仿宋_GB2312" w:eastAsia="仿宋_GB2312"/>
          <w:color w:val="000000"/>
          <w:sz w:val="32"/>
          <w:szCs w:val="32"/>
          <w:highlight w:val="none"/>
        </w:rPr>
        <w:t>完成区政府交办的其他评审工作。</w:t>
      </w:r>
    </w:p>
    <w:p>
      <w:pPr>
        <w:pStyle w:val="5"/>
        <w:adjustRightInd w:val="0"/>
        <w:snapToGrid w:val="0"/>
        <w:spacing w:before="93" w:line="600" w:lineRule="exact"/>
        <w:ind w:firstLine="672" w:firstLineChars="210"/>
        <w:outlineLvl w:val="2"/>
        <w:rPr>
          <w:rFonts w:hint="eastAsia" w:ascii="仿宋_GB2312" w:hAnsi="仿宋" w:eastAsia="仿宋_GB2312"/>
          <w:sz w:val="32"/>
          <w:szCs w:val="32"/>
        </w:rPr>
      </w:pPr>
      <w:r>
        <w:rPr>
          <w:rFonts w:hint="eastAsia" w:ascii="仿宋_GB2312" w:hAnsi="仿宋" w:eastAsia="仿宋_GB2312"/>
          <w:sz w:val="32"/>
          <w:szCs w:val="32"/>
        </w:rPr>
        <w:t>2．机构情况，包括当年变动情况及原因。</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sz w:val="32"/>
          <w:szCs w:val="32"/>
          <w:lang w:val="en-US" w:eastAsia="zh-CN"/>
        </w:rPr>
        <w:t>0</w:t>
      </w:r>
      <w:r>
        <w:rPr>
          <w:rFonts w:hint="eastAsia" w:ascii="仿宋_GB2312" w:hAnsi="仿宋" w:eastAsia="仿宋_GB2312"/>
          <w:sz w:val="32"/>
          <w:szCs w:val="32"/>
        </w:rPr>
        <w:t>年度，纳入本部门决算汇编范围的独立核算单位共1个，与上年相比无变化。</w:t>
      </w:r>
    </w:p>
    <w:p>
      <w:pPr>
        <w:snapToGrid w:val="0"/>
        <w:spacing w:line="520" w:lineRule="exact"/>
        <w:ind w:firstLine="640" w:firstLineChars="200"/>
        <w:rPr>
          <w:rFonts w:hint="eastAsia" w:ascii="仿宋" w:hAnsi="仿宋" w:eastAsia="仿宋"/>
          <w:bCs/>
          <w:color w:val="auto"/>
          <w:sz w:val="32"/>
          <w:szCs w:val="32"/>
        </w:rPr>
      </w:pPr>
      <w:r>
        <w:rPr>
          <w:rFonts w:hint="eastAsia" w:ascii="仿宋_GB2312" w:hAnsi="仿宋" w:eastAsia="仿宋_GB2312" w:cs="仿宋"/>
          <w:color w:val="000000"/>
          <w:sz w:val="32"/>
          <w:szCs w:val="32"/>
        </w:rPr>
        <w:t>20</w:t>
      </w:r>
      <w:r>
        <w:rPr>
          <w:rFonts w:hint="eastAsia" w:ascii="仿宋_GB2312" w:hAnsi="仿宋" w:eastAsia="仿宋_GB2312" w:cs="仿宋"/>
          <w:color w:val="000000"/>
          <w:sz w:val="32"/>
          <w:szCs w:val="32"/>
          <w:lang w:val="en-US" w:eastAsia="zh-CN"/>
        </w:rPr>
        <w:t>2</w:t>
      </w:r>
      <w:r>
        <w:rPr>
          <w:rFonts w:hint="eastAsia" w:ascii="仿宋_GB2312" w:hAnsi="仿宋" w:cs="仿宋"/>
          <w:color w:val="000000"/>
          <w:sz w:val="32"/>
          <w:szCs w:val="32"/>
          <w:lang w:val="en-US" w:eastAsia="zh-CN"/>
        </w:rPr>
        <w:t>0</w:t>
      </w:r>
      <w:r>
        <w:rPr>
          <w:rFonts w:hint="eastAsia" w:ascii="仿宋_GB2312" w:hAnsi="仿宋" w:eastAsia="仿宋_GB2312" w:cs="仿宋"/>
          <w:color w:val="000000"/>
          <w:sz w:val="32"/>
          <w:szCs w:val="32"/>
        </w:rPr>
        <w:t>年末在职人员</w:t>
      </w:r>
      <w:r>
        <w:rPr>
          <w:rFonts w:hint="eastAsia" w:ascii="仿宋_GB2312" w:hAnsi="仿宋" w:cs="仿宋"/>
          <w:color w:val="000000"/>
          <w:sz w:val="32"/>
          <w:szCs w:val="32"/>
          <w:lang w:val="en-US" w:eastAsia="zh-CN"/>
        </w:rPr>
        <w:t>4</w:t>
      </w:r>
      <w:r>
        <w:rPr>
          <w:rFonts w:hint="eastAsia" w:ascii="仿宋_GB2312" w:hAnsi="仿宋" w:eastAsia="仿宋_GB2312" w:cs="仿宋"/>
          <w:color w:val="000000"/>
          <w:sz w:val="32"/>
          <w:szCs w:val="32"/>
        </w:rPr>
        <w:t>人</w:t>
      </w:r>
      <w:r>
        <w:rPr>
          <w:rFonts w:hint="eastAsia" w:ascii="仿宋_GB2312" w:hAnsi="仿宋" w:eastAsia="仿宋_GB2312" w:cs="仿宋"/>
          <w:color w:val="000000"/>
          <w:sz w:val="32"/>
          <w:szCs w:val="32"/>
          <w:lang w:eastAsia="zh-CN"/>
        </w:rPr>
        <w:t>。</w:t>
      </w:r>
    </w:p>
    <w:p>
      <w:pPr>
        <w:pStyle w:val="5"/>
        <w:adjustRightInd w:val="0"/>
        <w:snapToGrid w:val="0"/>
        <w:spacing w:before="93" w:line="600" w:lineRule="exact"/>
        <w:ind w:firstLine="672" w:firstLineChars="210"/>
        <w:outlineLvl w:val="2"/>
        <w:rPr>
          <w:rFonts w:hint="eastAsia" w:ascii="仿宋_GB2312" w:hAnsi="仿宋_GB2312" w:eastAsia="仿宋_GB2312" w:cs="仿宋_GB2312"/>
          <w:bCs/>
          <w:color w:val="000000"/>
          <w:sz w:val="32"/>
          <w:szCs w:val="32"/>
        </w:rPr>
      </w:pPr>
      <w:bookmarkStart w:id="6" w:name="_Toc15377199"/>
      <w:bookmarkStart w:id="7" w:name="_Toc15378446"/>
      <w:r>
        <w:rPr>
          <w:rFonts w:hint="eastAsia" w:ascii="仿宋_GB2312" w:hAnsi="仿宋_GB2312" w:eastAsia="仿宋_GB2312" w:cs="仿宋_GB2312"/>
          <w:bCs/>
          <w:color w:val="000000"/>
          <w:sz w:val="32"/>
          <w:szCs w:val="32"/>
        </w:rPr>
        <w:t>（二）202</w:t>
      </w:r>
      <w:r>
        <w:rPr>
          <w:rFonts w:hint="eastAsia" w:ascii="仿宋_GB2312" w:hAnsi="仿宋_GB2312" w:eastAsia="仿宋_GB2312" w:cs="仿宋_GB2312"/>
          <w:bCs/>
          <w:color w:val="000000"/>
          <w:sz w:val="32"/>
          <w:szCs w:val="32"/>
          <w:lang w:val="en-US" w:eastAsia="zh-CN"/>
        </w:rPr>
        <w:t>0</w:t>
      </w:r>
      <w:r>
        <w:rPr>
          <w:rFonts w:hint="eastAsia" w:ascii="仿宋_GB2312" w:hAnsi="仿宋_GB2312" w:eastAsia="仿宋_GB2312" w:cs="仿宋_GB2312"/>
          <w:bCs/>
          <w:color w:val="000000"/>
          <w:sz w:val="32"/>
          <w:szCs w:val="32"/>
        </w:rPr>
        <w:t>年重点工作完成情况。</w:t>
      </w:r>
      <w:bookmarkEnd w:id="6"/>
      <w:bookmarkEnd w:id="7"/>
    </w:p>
    <w:p>
      <w:pPr>
        <w:pStyle w:val="4"/>
        <w:ind w:firstLine="640" w:firstLineChars="200"/>
        <w:rPr>
          <w:rFonts w:hint="eastAsia" w:ascii="仿宋_GB2312" w:hAnsi="仿宋_GB2312" w:eastAsia="仿宋_GB2312" w:cs="仿宋_GB2312"/>
          <w:b w:val="0"/>
          <w:color w:val="000000"/>
        </w:rPr>
      </w:pPr>
      <w:bookmarkStart w:id="8" w:name="_Toc6092"/>
      <w:bookmarkStart w:id="9" w:name="_Toc15377200"/>
      <w:bookmarkStart w:id="10" w:name="_Toc15396601"/>
      <w:r>
        <w:rPr>
          <w:rFonts w:hint="eastAsia" w:ascii="仿宋_GB2312" w:hAnsi="仿宋_GB2312" w:eastAsia="仿宋_GB2312" w:cs="仿宋_GB2312"/>
          <w:b w:val="0"/>
          <w:color w:val="000000"/>
        </w:rPr>
        <w:t>根据职责分工，认真完成全区财政性资金工程项目预算评审工作</w:t>
      </w:r>
      <w:r>
        <w:rPr>
          <w:rFonts w:hint="eastAsia" w:ascii="仿宋_GB2312" w:hAnsi="仿宋_GB2312" w:eastAsia="仿宋_GB2312" w:cs="仿宋_GB2312"/>
          <w:b w:val="0"/>
          <w:color w:val="000000"/>
          <w:lang w:eastAsia="zh-CN"/>
        </w:rPr>
        <w:t>。</w:t>
      </w:r>
      <w:r>
        <w:rPr>
          <w:rFonts w:hint="eastAsia" w:ascii="仿宋_GB2312" w:hAnsi="仿宋_GB2312" w:eastAsia="仿宋_GB2312" w:cs="仿宋_GB2312"/>
          <w:b w:val="0"/>
          <w:color w:val="000000"/>
        </w:rPr>
        <w:t>一是严格审核政府投资项目预算设计，促进财政资金安全有效使用。二是及时掌握材料市场价格，加大材料价格市场调查力度。三是对项目评审中出现的新情况、新问题，及时通过现场查看、专家咨询以及召开协商会议等方式进行处理，确保评审结论公正准确。</w:t>
      </w:r>
    </w:p>
    <w:p>
      <w:pPr>
        <w:pStyle w:val="4"/>
        <w:rPr>
          <w:rStyle w:val="17"/>
          <w:b w:val="0"/>
          <w:bCs w:val="0"/>
        </w:rPr>
      </w:pPr>
      <w:r>
        <w:rPr>
          <w:rFonts w:hint="eastAsia" w:ascii="黑体" w:eastAsia="黑体"/>
          <w:b w:val="0"/>
          <w:color w:val="000000"/>
        </w:rPr>
        <w:t>二、</w:t>
      </w:r>
      <w:r>
        <w:rPr>
          <w:rFonts w:hint="eastAsia" w:ascii="黑体" w:hAnsi="黑体" w:eastAsia="黑体"/>
          <w:b w:val="0"/>
          <w:color w:val="000000"/>
        </w:rPr>
        <w:t>机</w:t>
      </w:r>
      <w:r>
        <w:rPr>
          <w:rStyle w:val="17"/>
          <w:rFonts w:hint="eastAsia" w:ascii="黑体" w:hAnsi="黑体" w:eastAsia="黑体"/>
          <w:b w:val="0"/>
          <w:bCs w:val="0"/>
        </w:rPr>
        <w:t>构设置</w:t>
      </w:r>
      <w:bookmarkEnd w:id="8"/>
      <w:bookmarkEnd w:id="9"/>
      <w:bookmarkEnd w:id="10"/>
    </w:p>
    <w:p>
      <w:pPr>
        <w:pStyle w:val="5"/>
        <w:adjustRightInd w:val="0"/>
        <w:snapToGrid w:val="0"/>
        <w:spacing w:before="93" w:line="600" w:lineRule="exact"/>
        <w:ind w:firstLine="672" w:firstLineChars="210"/>
        <w:rPr>
          <w:rFonts w:ascii="仿宋" w:hAnsi="仿宋" w:eastAsia="仿宋"/>
          <w:color w:val="000000"/>
          <w:kern w:val="0"/>
          <w:sz w:val="32"/>
          <w:szCs w:val="32"/>
        </w:rPr>
      </w:pPr>
      <w:r>
        <w:rPr>
          <w:rFonts w:hint="eastAsia" w:ascii="仿宋" w:hAnsi="仿宋" w:eastAsia="仿宋"/>
          <w:sz w:val="32"/>
          <w:szCs w:val="32"/>
          <w:lang w:eastAsia="zh-CN"/>
        </w:rPr>
        <w:t>自贡市自流井区财政投资评审中心系自贡市自流井区财政局下属</w:t>
      </w:r>
      <w:r>
        <w:rPr>
          <w:rFonts w:hint="eastAsia" w:ascii="仿宋" w:hAnsi="仿宋" w:eastAsia="仿宋"/>
          <w:sz w:val="32"/>
          <w:szCs w:val="32"/>
        </w:rPr>
        <w:t>二级预算单位，</w:t>
      </w:r>
      <w:r>
        <w:rPr>
          <w:rFonts w:hint="eastAsia" w:ascii="仿宋" w:hAnsi="仿宋" w:eastAsia="仿宋"/>
          <w:sz w:val="32"/>
          <w:szCs w:val="32"/>
          <w:lang w:eastAsia="zh-CN"/>
        </w:rPr>
        <w:t>属于公益一类事业单位，</w:t>
      </w:r>
      <w:r>
        <w:rPr>
          <w:rFonts w:hint="eastAsia" w:ascii="仿宋" w:hAnsi="仿宋" w:eastAsia="仿宋"/>
          <w:color w:val="000000"/>
          <w:sz w:val="32"/>
          <w:szCs w:val="32"/>
        </w:rPr>
        <w:t>纳入</w:t>
      </w:r>
      <w:r>
        <w:rPr>
          <w:rFonts w:ascii="仿宋" w:hAnsi="仿宋" w:eastAsia="仿宋"/>
          <w:color w:val="000000"/>
          <w:sz w:val="32"/>
          <w:szCs w:val="32"/>
        </w:rPr>
        <w:t>2020</w:t>
      </w:r>
      <w:r>
        <w:rPr>
          <w:rFonts w:hint="eastAsia" w:ascii="仿宋" w:hAnsi="仿宋" w:eastAsia="仿宋"/>
          <w:color w:val="000000"/>
          <w:sz w:val="32"/>
          <w:szCs w:val="32"/>
        </w:rPr>
        <w:t>年度部门决算编制范围</w:t>
      </w:r>
      <w:r>
        <w:rPr>
          <w:rFonts w:hint="eastAsia" w:ascii="仿宋" w:hAnsi="仿宋" w:eastAsia="仿宋"/>
          <w:sz w:val="32"/>
          <w:szCs w:val="32"/>
          <w:lang w:eastAsia="zh-CN"/>
        </w:rPr>
        <w:t>。</w:t>
      </w:r>
    </w:p>
    <w:p>
      <w:pPr>
        <w:pStyle w:val="3"/>
        <w:ind w:right="440"/>
        <w:jc w:val="right"/>
      </w:pPr>
      <w:bookmarkStart w:id="11" w:name="_Toc15396602"/>
      <w:bookmarkStart w:id="12" w:name="_Toc15377204"/>
      <w:bookmarkStart w:id="13" w:name="_Toc23109"/>
      <w:r>
        <w:rPr>
          <w:rFonts w:hint="eastAsia" w:ascii="黑体" w:hAnsi="黑体" w:eastAsia="黑体"/>
          <w:b w:val="0"/>
          <w:color w:val="000000"/>
        </w:rPr>
        <w:t>第二部分</w:t>
      </w:r>
      <w:r>
        <w:rPr>
          <w:rFonts w:ascii="黑体" w:hAnsi="黑体" w:eastAsia="黑体"/>
          <w:color w:val="000000"/>
        </w:rPr>
        <w:t xml:space="preserve"> </w:t>
      </w:r>
      <w:r>
        <w:rPr>
          <w:rStyle w:val="16"/>
          <w:rFonts w:ascii="黑体" w:hAnsi="黑体" w:eastAsia="黑体"/>
          <w:b w:val="0"/>
          <w:bCs w:val="0"/>
        </w:rPr>
        <w:t>2020</w:t>
      </w:r>
      <w:r>
        <w:rPr>
          <w:rStyle w:val="16"/>
          <w:rFonts w:hint="eastAsia" w:ascii="黑体" w:hAnsi="黑体" w:eastAsia="黑体"/>
          <w:b w:val="0"/>
          <w:bCs w:val="0"/>
        </w:rPr>
        <w:t>年度部门决算情况说明</w:t>
      </w:r>
      <w:bookmarkEnd w:id="11"/>
      <w:bookmarkEnd w:id="12"/>
      <w:bookmarkEnd w:id="13"/>
    </w:p>
    <w:p>
      <w:pPr>
        <w:pStyle w:val="18"/>
        <w:numPr>
          <w:ilvl w:val="0"/>
          <w:numId w:val="2"/>
        </w:numPr>
        <w:spacing w:line="600" w:lineRule="exact"/>
        <w:ind w:firstLineChars="0"/>
        <w:outlineLvl w:val="1"/>
        <w:rPr>
          <w:rStyle w:val="17"/>
          <w:rFonts w:ascii="黑体" w:hAnsi="黑体" w:eastAsia="黑体"/>
          <w:b w:val="0"/>
        </w:rPr>
      </w:pPr>
      <w:bookmarkStart w:id="14" w:name="_Toc7163"/>
      <w:bookmarkStart w:id="15" w:name="_Toc15396603"/>
      <w:bookmarkStart w:id="16" w:name="_Toc15377205"/>
      <w:r>
        <w:rPr>
          <w:rFonts w:hint="eastAsia" w:ascii="黑体" w:hAnsi="黑体" w:eastAsia="黑体"/>
          <w:color w:val="000000"/>
          <w:sz w:val="32"/>
          <w:szCs w:val="32"/>
        </w:rPr>
        <w:t>收</w:t>
      </w:r>
      <w:r>
        <w:rPr>
          <w:rStyle w:val="17"/>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年度收、支总计</w:t>
      </w:r>
      <w:r>
        <w:rPr>
          <w:rFonts w:hint="eastAsia" w:ascii="仿宋" w:hAnsi="仿宋" w:eastAsia="仿宋"/>
          <w:color w:val="000000"/>
          <w:sz w:val="32"/>
          <w:szCs w:val="32"/>
          <w:lang w:val="en-US" w:eastAsia="zh-CN"/>
        </w:rPr>
        <w:t>67.39</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，收入</w:t>
      </w:r>
      <w:r>
        <w:rPr>
          <w:rFonts w:hint="eastAsia" w:ascii="仿宋" w:hAnsi="仿宋" w:eastAsia="仿宋"/>
          <w:color w:val="000000"/>
          <w:sz w:val="32"/>
          <w:szCs w:val="32"/>
          <w:lang w:val="en-US" w:eastAsia="zh-CN"/>
        </w:rPr>
        <w:t>33.7万元，支出33.69万元</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年相比，收、支总计减少</w:t>
      </w:r>
      <w:r>
        <w:rPr>
          <w:rFonts w:hint="eastAsia" w:ascii="仿宋" w:hAnsi="仿宋" w:eastAsia="仿宋"/>
          <w:color w:val="000000"/>
          <w:sz w:val="32"/>
          <w:szCs w:val="32"/>
          <w:lang w:val="en-US" w:eastAsia="zh-CN"/>
        </w:rPr>
        <w:t>160.17万元，收入减少87.1</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下降</w:t>
      </w:r>
      <w:r>
        <w:rPr>
          <w:rFonts w:hint="eastAsia" w:ascii="仿宋" w:hAnsi="仿宋" w:eastAsia="仿宋"/>
          <w:color w:val="000000"/>
          <w:sz w:val="32"/>
          <w:szCs w:val="32"/>
          <w:lang w:val="en-US" w:eastAsia="zh-CN"/>
        </w:rPr>
        <w:t>72.13</w:t>
      </w:r>
      <w:r>
        <w:rPr>
          <w:rFonts w:ascii="仿宋" w:hAnsi="仿宋" w:eastAsia="仿宋"/>
          <w:color w:val="000000"/>
          <w:sz w:val="32"/>
          <w:szCs w:val="32"/>
        </w:rPr>
        <w:t>%</w:t>
      </w:r>
      <w:r>
        <w:rPr>
          <w:rFonts w:hint="eastAsia" w:ascii="仿宋" w:hAnsi="仿宋" w:eastAsia="仿宋"/>
          <w:color w:val="000000"/>
          <w:sz w:val="32"/>
          <w:szCs w:val="32"/>
          <w:lang w:eastAsia="zh-CN"/>
        </w:rPr>
        <w:t>，支出减少</w:t>
      </w:r>
      <w:r>
        <w:rPr>
          <w:rFonts w:hint="eastAsia" w:ascii="仿宋" w:hAnsi="仿宋" w:eastAsia="仿宋"/>
          <w:color w:val="000000"/>
          <w:sz w:val="32"/>
          <w:szCs w:val="32"/>
          <w:lang w:val="en-US" w:eastAsia="zh-CN"/>
        </w:rPr>
        <w:t>72.99万元</w:t>
      </w:r>
      <w:r>
        <w:rPr>
          <w:rFonts w:hint="eastAsia" w:ascii="仿宋" w:hAnsi="仿宋" w:eastAsia="仿宋"/>
          <w:color w:val="000000"/>
          <w:sz w:val="32"/>
          <w:szCs w:val="32"/>
        </w:rPr>
        <w:t>，</w:t>
      </w:r>
      <w:r>
        <w:rPr>
          <w:rFonts w:hint="eastAsia" w:ascii="仿宋" w:hAnsi="仿宋" w:eastAsia="仿宋"/>
          <w:color w:val="000000"/>
          <w:sz w:val="32"/>
          <w:szCs w:val="32"/>
          <w:lang w:eastAsia="zh-CN"/>
        </w:rPr>
        <w:t>下降</w:t>
      </w:r>
      <w:r>
        <w:rPr>
          <w:rFonts w:hint="eastAsia" w:ascii="仿宋" w:hAnsi="仿宋" w:eastAsia="仿宋"/>
          <w:color w:val="000000"/>
          <w:sz w:val="32"/>
          <w:szCs w:val="32"/>
          <w:lang w:val="en-US" w:eastAsia="zh-CN"/>
        </w:rPr>
        <w:t>68.41%</w:t>
      </w:r>
      <w:r>
        <w:rPr>
          <w:rFonts w:hint="eastAsia" w:ascii="仿宋" w:hAnsi="仿宋" w:eastAsia="仿宋"/>
          <w:color w:val="000000"/>
          <w:sz w:val="32"/>
          <w:szCs w:val="32"/>
        </w:rPr>
        <w:t>。主要变动原因是例行节约，严控新增项目，评审费用减少。</w:t>
      </w:r>
    </w:p>
    <w:p>
      <w:pPr>
        <w:spacing w:line="600" w:lineRule="exact"/>
        <w:ind w:firstLine="640" w:firstLineChars="200"/>
        <w:rPr>
          <w:rFonts w:hint="eastAsia" w:ascii="仿宋" w:hAnsi="仿宋" w:eastAsia="仿宋"/>
          <w:color w:val="000000"/>
          <w:sz w:val="32"/>
          <w:szCs w:val="32"/>
        </w:rPr>
      </w:pPr>
    </w:p>
    <w:p>
      <w:pPr>
        <w:pStyle w:val="14"/>
        <w:rPr>
          <w:rFonts w:hint="eastAsia"/>
        </w:rPr>
      </w:pPr>
      <w:r>
        <w:drawing>
          <wp:inline distT="0" distB="0" distL="114300" distR="114300">
            <wp:extent cx="3553460" cy="2334260"/>
            <wp:effectExtent l="5080" t="4445" r="22860" b="2349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spacing w:line="600" w:lineRule="exact"/>
        <w:ind w:firstLine="640" w:firstLineChars="200"/>
        <w:jc w:val="left"/>
        <w:rPr>
          <w:rFonts w:ascii="仿宋_GB2312" w:eastAsia="仿宋_GB2312"/>
          <w:color w:val="000000"/>
          <w:sz w:val="32"/>
          <w:szCs w:val="32"/>
        </w:rPr>
      </w:pPr>
    </w:p>
    <w:p>
      <w:pPr>
        <w:pStyle w:val="18"/>
        <w:numPr>
          <w:ilvl w:val="0"/>
          <w:numId w:val="2"/>
        </w:numPr>
        <w:spacing w:line="600" w:lineRule="exact"/>
        <w:ind w:firstLineChars="0"/>
        <w:outlineLvl w:val="1"/>
        <w:rPr>
          <w:rStyle w:val="17"/>
          <w:rFonts w:ascii="黑体" w:hAnsi="黑体" w:eastAsia="黑体"/>
          <w:b w:val="0"/>
        </w:rPr>
      </w:pPr>
      <w:bookmarkStart w:id="17" w:name="_Toc15396604"/>
      <w:bookmarkStart w:id="18" w:name="_Toc15377206"/>
      <w:bookmarkStart w:id="19" w:name="_Toc25258"/>
      <w:r>
        <w:rPr>
          <w:rFonts w:hint="eastAsia" w:ascii="黑体" w:hAnsi="黑体" w:eastAsia="黑体"/>
          <w:color w:val="000000"/>
          <w:sz w:val="32"/>
          <w:szCs w:val="32"/>
        </w:rPr>
        <w:t>收</w:t>
      </w:r>
      <w:r>
        <w:rPr>
          <w:rStyle w:val="17"/>
          <w:rFonts w:hint="eastAsia" w:ascii="黑体" w:hAnsi="黑体" w:eastAsia="黑体"/>
          <w:b w:val="0"/>
        </w:rPr>
        <w:t>入决算情况说明</w:t>
      </w:r>
      <w:bookmarkEnd w:id="17"/>
      <w:bookmarkEnd w:id="18"/>
      <w:bookmarkEnd w:id="19"/>
    </w:p>
    <w:p>
      <w:pPr>
        <w:spacing w:line="600" w:lineRule="exact"/>
        <w:ind w:firstLine="640" w:firstLineChars="200"/>
        <w:outlineLvl w:val="9"/>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33.7</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32.04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95.07</w:t>
      </w:r>
      <w:r>
        <w:rPr>
          <w:rFonts w:ascii="仿宋" w:hAnsi="仿宋" w:eastAsia="仿宋"/>
          <w:color w:val="000000"/>
          <w:sz w:val="32"/>
          <w:szCs w:val="32"/>
        </w:rPr>
        <w:t>%</w:t>
      </w:r>
      <w:r>
        <w:rPr>
          <w:rFonts w:hint="eastAsia" w:ascii="仿宋" w:hAnsi="仿宋" w:eastAsia="仿宋"/>
          <w:color w:val="000000"/>
          <w:sz w:val="32"/>
          <w:szCs w:val="32"/>
          <w:lang w:eastAsia="zh-CN"/>
        </w:rPr>
        <w:t>，</w:t>
      </w:r>
      <w:r>
        <w:rPr>
          <w:rFonts w:hint="default" w:ascii="Times New Roman" w:hAnsi="Times New Roman" w:eastAsia="仿宋_GB2312" w:cs="Times New Roman"/>
          <w:kern w:val="2"/>
          <w:sz w:val="32"/>
          <w:szCs w:val="24"/>
          <w:lang w:val="en-US" w:eastAsia="zh-CN" w:bidi="ar-SA"/>
        </w:rPr>
        <w:t>政府性基金预算财政拨款收入0万元，占0%；上级补助收入0万元，占0%；事业收入0万元，占0%；经营收入0万元，占0%；附属单位上缴收入0万元，占0%；其他收入</w:t>
      </w:r>
      <w:r>
        <w:rPr>
          <w:rFonts w:hint="eastAsia" w:ascii="Times New Roman" w:hAnsi="Times New Roman" w:cs="Times New Roman"/>
          <w:kern w:val="2"/>
          <w:sz w:val="32"/>
          <w:szCs w:val="24"/>
          <w:lang w:val="en-US" w:eastAsia="zh-CN" w:bidi="ar-SA"/>
        </w:rPr>
        <w:t>1.66</w:t>
      </w:r>
      <w:r>
        <w:rPr>
          <w:rFonts w:hint="default" w:ascii="Times New Roman" w:hAnsi="Times New Roman" w:eastAsia="仿宋_GB2312" w:cs="Times New Roman"/>
          <w:kern w:val="2"/>
          <w:sz w:val="32"/>
          <w:szCs w:val="24"/>
          <w:lang w:val="en-US" w:eastAsia="zh-CN" w:bidi="ar-SA"/>
        </w:rPr>
        <w:t>万元，占</w:t>
      </w:r>
      <w:r>
        <w:rPr>
          <w:rFonts w:hint="eastAsia" w:ascii="Times New Roman" w:hAnsi="Times New Roman" w:cs="Times New Roman"/>
          <w:kern w:val="2"/>
          <w:sz w:val="32"/>
          <w:szCs w:val="24"/>
          <w:lang w:val="en-US" w:eastAsia="zh-CN" w:bidi="ar-SA"/>
        </w:rPr>
        <w:t>4.9</w:t>
      </w:r>
      <w:r>
        <w:rPr>
          <w:rFonts w:hint="default" w:ascii="Times New Roman" w:hAnsi="Times New Roman" w:eastAsia="仿宋_GB2312" w:cs="Times New Roman"/>
          <w:kern w:val="2"/>
          <w:sz w:val="32"/>
          <w:szCs w:val="24"/>
          <w:lang w:val="en-US" w:eastAsia="zh-CN" w:bidi="ar-SA"/>
        </w:rPr>
        <w:t>%。</w:t>
      </w:r>
      <w:r>
        <w:rPr>
          <w:rFonts w:hint="eastAsia" w:ascii="仿宋" w:hAnsi="仿宋" w:eastAsia="仿宋"/>
          <w:color w:val="000000"/>
          <w:sz w:val="32"/>
          <w:szCs w:val="32"/>
          <w:lang w:eastAsia="zh-CN"/>
        </w:rPr>
        <w:t>。</w:t>
      </w:r>
    </w:p>
    <w:p>
      <w:pPr>
        <w:spacing w:line="600" w:lineRule="exact"/>
        <w:ind w:firstLine="640" w:firstLineChars="200"/>
        <w:outlineLvl w:val="1"/>
        <w:rPr>
          <w:rFonts w:ascii="仿宋" w:hAnsi="仿宋" w:eastAsia="仿宋"/>
          <w:color w:val="000000"/>
          <w:sz w:val="32"/>
          <w:szCs w:val="32"/>
        </w:rPr>
      </w:pPr>
      <w:r>
        <w:drawing>
          <wp:anchor distT="0" distB="0" distL="114300" distR="114300" simplePos="0" relativeHeight="251660288" behindDoc="0" locked="0" layoutInCell="1" allowOverlap="1">
            <wp:simplePos x="0" y="0"/>
            <wp:positionH relativeFrom="column">
              <wp:posOffset>391795</wp:posOffset>
            </wp:positionH>
            <wp:positionV relativeFrom="paragraph">
              <wp:posOffset>233045</wp:posOffset>
            </wp:positionV>
            <wp:extent cx="3572510" cy="1969135"/>
            <wp:effectExtent l="4445" t="4445" r="23495" b="7620"/>
            <wp:wrapSquare wrapText="bothSides"/>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14"/>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p>
    <w:p>
      <w:pPr>
        <w:spacing w:line="600" w:lineRule="exact"/>
        <w:ind w:firstLine="640" w:firstLineChars="200"/>
        <w:rPr>
          <w:rFonts w:ascii="仿宋_GB2312" w:eastAsia="仿宋_GB2312"/>
          <w:color w:val="FF0000"/>
          <w:sz w:val="32"/>
          <w:szCs w:val="32"/>
        </w:rPr>
      </w:pPr>
    </w:p>
    <w:p>
      <w:pPr>
        <w:pStyle w:val="18"/>
        <w:numPr>
          <w:ilvl w:val="0"/>
          <w:numId w:val="2"/>
        </w:numPr>
        <w:spacing w:line="600" w:lineRule="exact"/>
        <w:ind w:firstLineChars="0"/>
        <w:outlineLvl w:val="1"/>
        <w:rPr>
          <w:rStyle w:val="17"/>
          <w:rFonts w:ascii="黑体" w:hAnsi="黑体" w:eastAsia="黑体"/>
          <w:b w:val="0"/>
        </w:rPr>
      </w:pPr>
      <w:bookmarkStart w:id="20" w:name="_Toc15396605"/>
      <w:bookmarkStart w:id="21" w:name="_Toc13725"/>
      <w:bookmarkStart w:id="22" w:name="_Toc15377207"/>
      <w:r>
        <w:rPr>
          <w:rFonts w:hint="eastAsia" w:ascii="黑体" w:hAnsi="黑体" w:eastAsia="黑体"/>
          <w:color w:val="000000"/>
          <w:sz w:val="32"/>
          <w:szCs w:val="32"/>
        </w:rPr>
        <w:t>支</w:t>
      </w:r>
      <w:r>
        <w:rPr>
          <w:rStyle w:val="17"/>
          <w:rFonts w:hint="eastAsia" w:ascii="黑体" w:hAnsi="黑体" w:eastAsia="黑体"/>
          <w:b w:val="0"/>
        </w:rPr>
        <w:t>出决算情况说明</w:t>
      </w:r>
      <w:bookmarkEnd w:id="20"/>
      <w:bookmarkEnd w:id="21"/>
      <w:bookmarkEnd w:id="22"/>
    </w:p>
    <w:p>
      <w:pPr>
        <w:spacing w:line="600" w:lineRule="exact"/>
        <w:ind w:firstLine="640" w:firstLineChars="200"/>
        <w:outlineLvl w:val="9"/>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33.69</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33.69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outlineLvl w:val="9"/>
        <w:rPr>
          <w:rFonts w:ascii="仿宋" w:hAnsi="仿宋" w:eastAsia="仿宋"/>
          <w:color w:val="000000"/>
          <w:sz w:val="32"/>
          <w:szCs w:val="32"/>
          <w:shd w:val="pct10" w:color="auto" w:fill="FFFFFF"/>
        </w:rPr>
      </w:pPr>
    </w:p>
    <w:p>
      <w:pPr>
        <w:pStyle w:val="14"/>
      </w:pPr>
      <w:r>
        <w:drawing>
          <wp:inline distT="0" distB="0" distL="114300" distR="114300">
            <wp:extent cx="2752725" cy="2010410"/>
            <wp:effectExtent l="5080" t="4445" r="4445" b="2349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Style w:val="17"/>
          <w:rFonts w:ascii="黑体" w:hAnsi="黑体" w:eastAsia="黑体"/>
          <w:b w:val="0"/>
        </w:rPr>
      </w:pPr>
      <w:bookmarkStart w:id="23" w:name="_Toc10354"/>
      <w:bookmarkStart w:id="24" w:name="_Toc15377208"/>
      <w:bookmarkStart w:id="25" w:name="_Toc15396606"/>
      <w:r>
        <w:rPr>
          <w:rFonts w:hint="eastAsia" w:ascii="黑体" w:hAnsi="黑体" w:eastAsia="黑体"/>
          <w:color w:val="000000"/>
          <w:sz w:val="32"/>
          <w:szCs w:val="32"/>
        </w:rPr>
        <w:t>四、财</w:t>
      </w:r>
      <w:r>
        <w:rPr>
          <w:rStyle w:val="17"/>
          <w:rFonts w:hint="eastAsia" w:ascii="黑体" w:hAnsi="黑体" w:eastAsia="黑体"/>
          <w:b w:val="0"/>
        </w:rPr>
        <w:t>政拨款收入支出决算总体情况说明</w:t>
      </w:r>
      <w:bookmarkEnd w:id="23"/>
      <w:bookmarkEnd w:id="24"/>
      <w:bookmarkEnd w:id="25"/>
    </w:p>
    <w:p>
      <w:pPr>
        <w:spacing w:line="60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年度收、支总计</w:t>
      </w:r>
      <w:r>
        <w:rPr>
          <w:rFonts w:hint="eastAsia" w:ascii="仿宋" w:hAnsi="仿宋" w:eastAsia="仿宋"/>
          <w:color w:val="000000"/>
          <w:sz w:val="32"/>
          <w:szCs w:val="32"/>
          <w:lang w:val="en-US" w:eastAsia="zh-CN"/>
        </w:rPr>
        <w:t>67.39</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，收入</w:t>
      </w:r>
      <w:r>
        <w:rPr>
          <w:rFonts w:hint="eastAsia" w:ascii="仿宋" w:hAnsi="仿宋" w:eastAsia="仿宋"/>
          <w:color w:val="000000"/>
          <w:sz w:val="32"/>
          <w:szCs w:val="32"/>
          <w:lang w:val="en-US" w:eastAsia="zh-CN"/>
        </w:rPr>
        <w:t>33.7万元，支出33.69万元</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年相比，收、支总计减少</w:t>
      </w:r>
      <w:r>
        <w:rPr>
          <w:rFonts w:hint="eastAsia" w:ascii="仿宋" w:hAnsi="仿宋" w:eastAsia="仿宋"/>
          <w:color w:val="000000"/>
          <w:sz w:val="32"/>
          <w:szCs w:val="32"/>
          <w:lang w:val="en-US" w:eastAsia="zh-CN"/>
        </w:rPr>
        <w:t>160.17万元，收入减少87.1</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下降</w:t>
      </w:r>
      <w:r>
        <w:rPr>
          <w:rFonts w:hint="eastAsia" w:ascii="仿宋" w:hAnsi="仿宋" w:eastAsia="仿宋"/>
          <w:color w:val="000000"/>
          <w:sz w:val="32"/>
          <w:szCs w:val="32"/>
          <w:lang w:val="en-US" w:eastAsia="zh-CN"/>
        </w:rPr>
        <w:t>72.13</w:t>
      </w:r>
      <w:r>
        <w:rPr>
          <w:rFonts w:ascii="仿宋" w:hAnsi="仿宋" w:eastAsia="仿宋"/>
          <w:color w:val="000000"/>
          <w:sz w:val="32"/>
          <w:szCs w:val="32"/>
        </w:rPr>
        <w:t>%</w:t>
      </w:r>
      <w:r>
        <w:rPr>
          <w:rFonts w:hint="eastAsia" w:ascii="仿宋" w:hAnsi="仿宋" w:eastAsia="仿宋"/>
          <w:color w:val="000000"/>
          <w:sz w:val="32"/>
          <w:szCs w:val="32"/>
          <w:lang w:eastAsia="zh-CN"/>
        </w:rPr>
        <w:t>，支出减少</w:t>
      </w:r>
      <w:r>
        <w:rPr>
          <w:rFonts w:hint="eastAsia" w:ascii="仿宋" w:hAnsi="仿宋" w:eastAsia="仿宋"/>
          <w:color w:val="000000"/>
          <w:sz w:val="32"/>
          <w:szCs w:val="32"/>
          <w:lang w:val="en-US" w:eastAsia="zh-CN"/>
        </w:rPr>
        <w:t>72.98万元</w:t>
      </w:r>
      <w:r>
        <w:rPr>
          <w:rFonts w:hint="eastAsia" w:ascii="仿宋" w:hAnsi="仿宋" w:eastAsia="仿宋"/>
          <w:color w:val="000000"/>
          <w:sz w:val="32"/>
          <w:szCs w:val="32"/>
        </w:rPr>
        <w:t>，</w:t>
      </w:r>
      <w:r>
        <w:rPr>
          <w:rFonts w:hint="eastAsia" w:ascii="仿宋" w:hAnsi="仿宋" w:eastAsia="仿宋"/>
          <w:color w:val="000000"/>
          <w:sz w:val="32"/>
          <w:szCs w:val="32"/>
          <w:lang w:eastAsia="zh-CN"/>
        </w:rPr>
        <w:t>下降</w:t>
      </w:r>
      <w:r>
        <w:rPr>
          <w:rFonts w:hint="eastAsia" w:ascii="仿宋" w:hAnsi="仿宋" w:eastAsia="仿宋"/>
          <w:color w:val="000000"/>
          <w:sz w:val="32"/>
          <w:szCs w:val="32"/>
          <w:lang w:val="en-US" w:eastAsia="zh-CN"/>
        </w:rPr>
        <w:t>68.41%</w:t>
      </w:r>
      <w:r>
        <w:rPr>
          <w:rFonts w:hint="eastAsia" w:ascii="仿宋" w:hAnsi="仿宋" w:eastAsia="仿宋"/>
          <w:color w:val="000000"/>
          <w:sz w:val="32"/>
          <w:szCs w:val="32"/>
        </w:rPr>
        <w:t>。主要变动原因是例行节约，严控新增项目，评审费用减少。</w:t>
      </w:r>
    </w:p>
    <w:p>
      <w:pPr>
        <w:pStyle w:val="14"/>
      </w:pPr>
    </w:p>
    <w:p>
      <w:pPr>
        <w:pStyle w:val="15"/>
      </w:pPr>
      <w:r>
        <w:drawing>
          <wp:anchor distT="0" distB="0" distL="114300" distR="114300" simplePos="0" relativeHeight="251661312" behindDoc="0" locked="0" layoutInCell="1" allowOverlap="1">
            <wp:simplePos x="0" y="0"/>
            <wp:positionH relativeFrom="column">
              <wp:posOffset>566420</wp:posOffset>
            </wp:positionH>
            <wp:positionV relativeFrom="paragraph">
              <wp:posOffset>394335</wp:posOffset>
            </wp:positionV>
            <wp:extent cx="3829050" cy="2190750"/>
            <wp:effectExtent l="4445" t="4445" r="14605" b="1460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rPr>
          <w:rFonts w:ascii="仿宋" w:hAnsi="仿宋" w:eastAsia="仿宋"/>
          <w:color w:val="000000"/>
          <w:sz w:val="32"/>
          <w:szCs w:val="32"/>
        </w:rPr>
      </w:pPr>
    </w:p>
    <w:p>
      <w:pPr>
        <w:pStyle w:val="14"/>
      </w:pPr>
    </w:p>
    <w:p>
      <w:pPr>
        <w:pStyle w:val="15"/>
        <w:rPr>
          <w:rFonts w:ascii="仿宋" w:hAnsi="仿宋" w:eastAsia="仿宋"/>
          <w:color w:val="000000"/>
          <w:sz w:val="32"/>
          <w:szCs w:val="32"/>
        </w:rPr>
      </w:pPr>
    </w:p>
    <w:p>
      <w:pPr>
        <w:pStyle w:val="15"/>
        <w:rPr>
          <w:rFonts w:ascii="仿宋" w:hAnsi="仿宋" w:eastAsia="仿宋"/>
          <w:color w:val="000000"/>
          <w:sz w:val="32"/>
          <w:szCs w:val="32"/>
        </w:rPr>
      </w:pPr>
    </w:p>
    <w:p>
      <w:pPr>
        <w:pStyle w:val="15"/>
        <w:rPr>
          <w:rFonts w:ascii="仿宋" w:hAnsi="仿宋" w:eastAsia="仿宋"/>
          <w:color w:val="000000"/>
          <w:sz w:val="32"/>
          <w:szCs w:val="32"/>
        </w:rPr>
      </w:pPr>
    </w:p>
    <w:p>
      <w:pPr>
        <w:pStyle w:val="15"/>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：财政拨款收、支决算总计变动情况）（柱状图）</w:t>
      </w: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17"/>
          <w:rFonts w:ascii="黑体" w:hAnsi="黑体" w:eastAsia="黑体"/>
          <w:b w:val="0"/>
        </w:rPr>
      </w:pPr>
      <w:bookmarkStart w:id="26" w:name="_Toc10967"/>
      <w:bookmarkStart w:id="27" w:name="_Toc15396607"/>
      <w:bookmarkStart w:id="28" w:name="_Toc15377209"/>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7"/>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 w:val="32"/>
          <w:szCs w:val="32"/>
        </w:rPr>
      </w:pPr>
      <w:bookmarkStart w:id="29" w:name="_Toc15377210"/>
      <w:r>
        <w:rPr>
          <w:rFonts w:hint="eastAsia" w:ascii="仿宋" w:hAnsi="仿宋" w:eastAsia="仿宋"/>
          <w:b/>
          <w:color w:val="000000"/>
          <w:sz w:val="32"/>
          <w:szCs w:val="32"/>
        </w:rPr>
        <w:t>（一）一般公共预算财政拨款支出决算总体情况</w:t>
      </w:r>
      <w:bookmarkEnd w:id="29"/>
    </w:p>
    <w:p>
      <w:pPr>
        <w:spacing w:line="60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33.69</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年相比，一般公共预算财政拨款减少</w:t>
      </w:r>
      <w:r>
        <w:rPr>
          <w:rFonts w:hint="eastAsia" w:ascii="仿宋" w:hAnsi="仿宋" w:eastAsia="仿宋"/>
          <w:color w:val="000000"/>
          <w:sz w:val="32"/>
          <w:szCs w:val="32"/>
          <w:lang w:val="en-US" w:eastAsia="zh-CN"/>
        </w:rPr>
        <w:t>72.99</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68.41</w:t>
      </w:r>
      <w:r>
        <w:rPr>
          <w:rFonts w:ascii="仿宋" w:hAnsi="仿宋" w:eastAsia="仿宋"/>
          <w:color w:val="000000"/>
          <w:sz w:val="32"/>
          <w:szCs w:val="32"/>
        </w:rPr>
        <w:t>%</w:t>
      </w:r>
      <w:r>
        <w:rPr>
          <w:rFonts w:hint="eastAsia" w:ascii="仿宋" w:hAnsi="仿宋" w:eastAsia="仿宋"/>
          <w:color w:val="000000"/>
          <w:sz w:val="32"/>
          <w:szCs w:val="32"/>
        </w:rPr>
        <w:t>。主要变动原因是是例行节约，严控新增项目，评审费用减少。</w:t>
      </w:r>
    </w:p>
    <w:p>
      <w:pPr>
        <w:pStyle w:val="14"/>
        <w:rPr>
          <w:rFonts w:ascii="仿宋" w:hAnsi="仿宋" w:eastAsia="仿宋"/>
          <w:color w:val="000000"/>
          <w:sz w:val="32"/>
          <w:szCs w:val="32"/>
        </w:rPr>
      </w:pPr>
      <w:r>
        <w:drawing>
          <wp:inline distT="0" distB="0" distL="114300" distR="114300">
            <wp:extent cx="4448810" cy="2371725"/>
            <wp:effectExtent l="4445" t="4445" r="23495" b="508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5</w:t>
      </w:r>
      <w:r>
        <w:rPr>
          <w:rFonts w:hint="eastAsia" w:ascii="仿宋" w:hAnsi="仿宋" w:eastAsia="仿宋"/>
          <w:color w:val="000000"/>
          <w:sz w:val="32"/>
          <w:szCs w:val="32"/>
        </w:rPr>
        <w:t>：一般公共预算财政拨款支出决算变动情况）（柱状图）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0" w:name="_Toc15377211"/>
      <w:r>
        <w:rPr>
          <w:rFonts w:hint="eastAsia" w:ascii="仿宋" w:hAnsi="仿宋" w:eastAsia="仿宋"/>
          <w:b/>
          <w:color w:val="000000"/>
          <w:sz w:val="32"/>
          <w:szCs w:val="32"/>
        </w:rPr>
        <w:t>（二）一般公共预算财政拨款支出决算结构情况</w:t>
      </w:r>
      <w:bookmarkEnd w:id="30"/>
    </w:p>
    <w:p>
      <w:pPr>
        <w:spacing w:line="60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33.69</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b/>
          <w:color w:val="000000"/>
          <w:sz w:val="32"/>
          <w:szCs w:val="32"/>
        </w:rPr>
        <w:t>一般公共服务（类）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27.27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80.94</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教育支出（类）</w:t>
      </w:r>
      <w:r>
        <w:rPr>
          <w:rFonts w:hint="eastAsia" w:ascii="仿宋" w:hAnsi="仿宋" w:eastAsia="仿宋"/>
          <w:b/>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科学技术（类）</w:t>
      </w:r>
      <w:r>
        <w:rPr>
          <w:rFonts w:hint="eastAsia" w:ascii="仿宋" w:hAnsi="仿宋" w:eastAsia="仿宋"/>
          <w:color w:val="000000"/>
          <w:sz w:val="32"/>
          <w:szCs w:val="32"/>
        </w:rPr>
        <w:t>支出</w:t>
      </w:r>
      <w:r>
        <w:rPr>
          <w:rFonts w:hint="eastAsia" w:ascii="仿宋" w:hAnsi="仿宋" w:eastAsia="仿宋"/>
          <w:color w:val="000000"/>
          <w:sz w:val="32"/>
          <w:szCs w:val="32"/>
          <w:lang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文化旅游体育与传媒（类）支出</w:t>
      </w:r>
      <w:r>
        <w:rPr>
          <w:rFonts w:hint="eastAsia" w:ascii="仿宋" w:hAnsi="仿宋" w:eastAsia="仿宋"/>
          <w:b/>
          <w:bCs/>
          <w:color w:val="000000"/>
          <w:sz w:val="32"/>
          <w:szCs w:val="32"/>
          <w:lang w:eastAsia="zh-CN"/>
        </w:rPr>
        <w:t>0</w:t>
      </w:r>
      <w:r>
        <w:rPr>
          <w:rFonts w:hint="eastAsia" w:ascii="仿宋" w:hAnsi="仿宋" w:eastAsia="仿宋"/>
          <w:b/>
          <w:bCs/>
          <w:color w:val="000000"/>
          <w:sz w:val="32"/>
          <w:szCs w:val="32"/>
        </w:rPr>
        <w:t>万元，占</w:t>
      </w:r>
      <w:r>
        <w:rPr>
          <w:rFonts w:hint="eastAsia" w:ascii="仿宋" w:hAnsi="仿宋" w:eastAsia="仿宋"/>
          <w:b/>
          <w:bCs/>
          <w:color w:val="000000"/>
          <w:sz w:val="32"/>
          <w:szCs w:val="32"/>
          <w:lang w:eastAsia="zh-CN"/>
        </w:rPr>
        <w:t>0</w:t>
      </w:r>
      <w:r>
        <w:rPr>
          <w:rFonts w:ascii="仿宋" w:hAnsi="仿宋" w:eastAsia="仿宋"/>
          <w:b/>
          <w:bCs/>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2.9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8.6</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1.53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4.5</w:t>
      </w:r>
      <w:r>
        <w:rPr>
          <w:rFonts w:ascii="仿宋" w:hAnsi="仿宋" w:eastAsia="仿宋"/>
          <w:color w:val="000000"/>
          <w:sz w:val="32"/>
          <w:szCs w:val="32"/>
        </w:rPr>
        <w:t>%</w:t>
      </w:r>
      <w:r>
        <w:rPr>
          <w:rFonts w:hint="eastAsia" w:ascii="仿宋" w:hAnsi="仿宋" w:eastAsia="仿宋"/>
          <w:color w:val="000000"/>
          <w:sz w:val="32"/>
          <w:szCs w:val="32"/>
        </w:rPr>
        <w:t>；住房保障支出</w:t>
      </w:r>
      <w:r>
        <w:rPr>
          <w:rFonts w:hint="eastAsia" w:ascii="仿宋" w:hAnsi="仿宋" w:eastAsia="仿宋"/>
          <w:color w:val="000000"/>
          <w:sz w:val="32"/>
          <w:szCs w:val="32"/>
          <w:lang w:val="en-US" w:eastAsia="zh-CN"/>
        </w:rPr>
        <w:t>1.99</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5.9</w:t>
      </w:r>
      <w:r>
        <w:rPr>
          <w:rFonts w:ascii="仿宋" w:hAnsi="仿宋" w:eastAsia="仿宋"/>
          <w:color w:val="000000"/>
          <w:sz w:val="32"/>
          <w:szCs w:val="32"/>
        </w:rPr>
        <w:t>%</w:t>
      </w:r>
      <w:r>
        <w:rPr>
          <w:rFonts w:hint="eastAsia" w:ascii="仿宋" w:hAnsi="仿宋" w:eastAsia="仿宋"/>
          <w:color w:val="000000"/>
          <w:sz w:val="32"/>
          <w:szCs w:val="32"/>
        </w:rPr>
        <w:t>。</w:t>
      </w:r>
    </w:p>
    <w:p>
      <w:pPr>
        <w:pStyle w:val="14"/>
        <w:rPr>
          <w:rFonts w:hint="eastAsia"/>
        </w:rPr>
      </w:pPr>
    </w:p>
    <w:p>
      <w:pPr>
        <w:pStyle w:val="15"/>
        <w:rPr>
          <w:rFonts w:hint="eastAsia"/>
        </w:rPr>
      </w:pPr>
      <w:r>
        <w:drawing>
          <wp:inline distT="0" distB="0" distL="114300" distR="114300">
            <wp:extent cx="4572000" cy="2743200"/>
            <wp:effectExtent l="4445" t="4445" r="14605" b="14605"/>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6</w:t>
      </w:r>
      <w:r>
        <w:rPr>
          <w:rFonts w:hint="eastAsia" w:ascii="仿宋" w:hAnsi="仿宋" w:eastAsia="仿宋"/>
          <w:color w:val="000000"/>
          <w:sz w:val="32"/>
          <w:szCs w:val="32"/>
        </w:rPr>
        <w:t>：一般公共预算财政拨款支出决算结构）（饼状图）</w:t>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bookmarkStart w:id="31" w:name="_Toc15377212"/>
      <w:r>
        <w:rPr>
          <w:rFonts w:hint="eastAsia" w:ascii="仿宋" w:hAnsi="仿宋" w:eastAsia="仿宋"/>
          <w:color w:val="000000"/>
          <w:sz w:val="32"/>
          <w:szCs w:val="32"/>
        </w:rPr>
        <w:t>（三）一般公共预算财政拨款支出决算具体情况</w:t>
      </w:r>
      <w:bookmarkEnd w:id="31"/>
    </w:p>
    <w:p>
      <w:pPr>
        <w:spacing w:line="600" w:lineRule="exact"/>
        <w:ind w:firstLine="640" w:firstLineChars="200"/>
        <w:rPr>
          <w:rFonts w:hint="eastAsia" w:ascii="仿宋" w:hAnsi="仿宋" w:eastAsia="仿宋"/>
          <w:color w:val="000000"/>
          <w:sz w:val="32"/>
          <w:szCs w:val="32"/>
        </w:rPr>
      </w:pPr>
      <w:bookmarkStart w:id="32" w:name="_Toc15378460"/>
      <w:bookmarkStart w:id="33" w:name="_Toc15377213"/>
      <w:bookmarkStart w:id="34" w:name="_Toc15377444"/>
      <w:r>
        <w:rPr>
          <w:rFonts w:hint="eastAsia" w:ascii="仿宋" w:hAnsi="仿宋" w:eastAsia="仿宋"/>
          <w:color w:val="000000"/>
          <w:sz w:val="32"/>
          <w:szCs w:val="32"/>
        </w:rPr>
        <w:t>2020年一般公共预算支出决算数为</w:t>
      </w:r>
      <w:r>
        <w:rPr>
          <w:rFonts w:hint="eastAsia" w:ascii="仿宋" w:hAnsi="仿宋" w:eastAsia="仿宋"/>
          <w:color w:val="000000"/>
          <w:sz w:val="32"/>
          <w:szCs w:val="32"/>
          <w:lang w:val="en-US" w:eastAsia="zh-CN"/>
        </w:rPr>
        <w:t>33.69万元</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2020年预算为33.69万元，</w:t>
      </w:r>
      <w:r>
        <w:rPr>
          <w:rFonts w:hint="eastAsia" w:ascii="仿宋" w:hAnsi="仿宋" w:eastAsia="仿宋"/>
          <w:color w:val="000000"/>
          <w:sz w:val="32"/>
          <w:szCs w:val="32"/>
        </w:rPr>
        <w:t>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%。其中：</w:t>
      </w:r>
      <w:bookmarkEnd w:id="32"/>
      <w:bookmarkEnd w:id="33"/>
      <w:bookmarkEnd w:id="34"/>
    </w:p>
    <w:p>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一般公共服务（类）</w:t>
      </w:r>
      <w:r>
        <w:rPr>
          <w:rFonts w:hint="eastAsia" w:ascii="仿宋" w:hAnsi="仿宋" w:eastAsia="仿宋"/>
          <w:color w:val="000000"/>
          <w:sz w:val="32"/>
          <w:szCs w:val="32"/>
          <w:lang w:eastAsia="zh-CN"/>
        </w:rPr>
        <w:t>财政事务</w:t>
      </w:r>
      <w:r>
        <w:rPr>
          <w:rFonts w:hint="eastAsia" w:ascii="仿宋" w:hAnsi="仿宋" w:eastAsia="仿宋"/>
          <w:color w:val="000000"/>
          <w:sz w:val="32"/>
          <w:szCs w:val="32"/>
        </w:rPr>
        <w:t>（款）</w:t>
      </w:r>
      <w:r>
        <w:rPr>
          <w:rFonts w:hint="eastAsia" w:ascii="仿宋" w:hAnsi="仿宋" w:eastAsia="仿宋"/>
          <w:color w:val="000000"/>
          <w:sz w:val="32"/>
          <w:szCs w:val="32"/>
          <w:lang w:eastAsia="zh-CN"/>
        </w:rPr>
        <w:t>事业运行</w:t>
      </w:r>
      <w:r>
        <w:rPr>
          <w:rFonts w:hint="eastAsia" w:ascii="仿宋" w:hAnsi="仿宋" w:eastAsia="仿宋"/>
          <w:color w:val="000000"/>
          <w:sz w:val="32"/>
          <w:szCs w:val="32"/>
        </w:rPr>
        <w:t>（项）: 支出决算为</w:t>
      </w:r>
      <w:r>
        <w:rPr>
          <w:rFonts w:hint="eastAsia" w:ascii="仿宋" w:hAnsi="仿宋" w:eastAsia="仿宋"/>
          <w:color w:val="000000"/>
          <w:sz w:val="32"/>
          <w:szCs w:val="32"/>
          <w:lang w:val="en-US" w:eastAsia="zh-CN"/>
        </w:rPr>
        <w:t>25.63</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2020年预算为25.63万元，</w:t>
      </w:r>
      <w:r>
        <w:rPr>
          <w:rFonts w:hint="eastAsia" w:ascii="仿宋" w:hAnsi="仿宋" w:eastAsia="仿宋"/>
          <w:color w:val="000000"/>
          <w:sz w:val="32"/>
          <w:szCs w:val="32"/>
        </w:rPr>
        <w:t>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%，决算数等于预算数的主要原因是</w:t>
      </w:r>
      <w:r>
        <w:rPr>
          <w:rFonts w:hint="eastAsia" w:ascii="仿宋" w:hAnsi="仿宋" w:eastAsia="仿宋"/>
          <w:color w:val="000000"/>
          <w:sz w:val="32"/>
          <w:szCs w:val="32"/>
          <w:lang w:eastAsia="zh-CN"/>
        </w:rPr>
        <w:t>严格按照预算执行，收支平衡</w:t>
      </w:r>
    </w:p>
    <w:p>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2.教育（类）（款）（项）: 支出决算为</w:t>
      </w:r>
      <w:r>
        <w:rPr>
          <w:rFonts w:hint="eastAsia" w:ascii="仿宋" w:hAnsi="仿宋" w:eastAsia="仿宋"/>
          <w:color w:val="000000"/>
          <w:sz w:val="32"/>
          <w:szCs w:val="32"/>
          <w:lang w:eastAsia="zh-CN"/>
        </w:rPr>
        <w:t>0</w:t>
      </w:r>
      <w:r>
        <w:rPr>
          <w:rFonts w:hint="eastAsia" w:ascii="仿宋" w:hAnsi="仿宋" w:eastAsia="仿宋"/>
          <w:color w:val="000000"/>
          <w:sz w:val="32"/>
          <w:szCs w:val="32"/>
        </w:rPr>
        <w:t>万元，完成预算</w:t>
      </w:r>
      <w:r>
        <w:rPr>
          <w:rFonts w:hint="eastAsia" w:ascii="仿宋" w:hAnsi="仿宋" w:eastAsia="仿宋"/>
          <w:color w:val="000000"/>
          <w:sz w:val="32"/>
          <w:szCs w:val="32"/>
          <w:lang w:eastAsia="zh-CN"/>
        </w:rPr>
        <w:t>0</w:t>
      </w:r>
      <w:r>
        <w:rPr>
          <w:rFonts w:hint="eastAsia" w:ascii="仿宋" w:hAnsi="仿宋" w:eastAsia="仿宋"/>
          <w:color w:val="000000"/>
          <w:sz w:val="32"/>
          <w:szCs w:val="32"/>
        </w:rPr>
        <w:t>%</w:t>
      </w:r>
      <w:r>
        <w:rPr>
          <w:rFonts w:hint="eastAsia" w:ascii="仿宋" w:hAnsi="仿宋" w:eastAsia="仿宋"/>
          <w:color w:val="000000"/>
          <w:sz w:val="32"/>
          <w:szCs w:val="32"/>
          <w:lang w:eastAsia="zh-CN"/>
        </w:rPr>
        <w:t>。</w:t>
      </w:r>
    </w:p>
    <w:p>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3.科学技术（类）（款）（项）: 支出决算为</w:t>
      </w:r>
      <w:r>
        <w:rPr>
          <w:rFonts w:hint="eastAsia" w:ascii="仿宋" w:hAnsi="仿宋" w:eastAsia="仿宋"/>
          <w:color w:val="000000"/>
          <w:sz w:val="32"/>
          <w:szCs w:val="32"/>
          <w:lang w:eastAsia="zh-CN"/>
        </w:rPr>
        <w:t>0</w:t>
      </w:r>
      <w:r>
        <w:rPr>
          <w:rFonts w:hint="eastAsia" w:ascii="仿宋" w:hAnsi="仿宋" w:eastAsia="仿宋"/>
          <w:color w:val="000000"/>
          <w:sz w:val="32"/>
          <w:szCs w:val="32"/>
        </w:rPr>
        <w:t>万元，完成预算</w:t>
      </w:r>
      <w:r>
        <w:rPr>
          <w:rFonts w:hint="eastAsia" w:ascii="仿宋" w:hAnsi="仿宋" w:eastAsia="仿宋"/>
          <w:color w:val="000000"/>
          <w:sz w:val="32"/>
          <w:szCs w:val="32"/>
          <w:lang w:eastAsia="zh-CN"/>
        </w:rPr>
        <w:t>0</w:t>
      </w:r>
      <w:r>
        <w:rPr>
          <w:rFonts w:hint="eastAsia" w:ascii="仿宋" w:hAnsi="仿宋" w:eastAsia="仿宋"/>
          <w:color w:val="000000"/>
          <w:sz w:val="32"/>
          <w:szCs w:val="32"/>
        </w:rPr>
        <w:t>%</w:t>
      </w:r>
      <w:r>
        <w:rPr>
          <w:rFonts w:hint="eastAsia" w:ascii="仿宋" w:hAnsi="仿宋" w:eastAsia="仿宋"/>
          <w:color w:val="000000"/>
          <w:sz w:val="32"/>
          <w:szCs w:val="32"/>
          <w:lang w:eastAsia="zh-CN"/>
        </w:rPr>
        <w:t>。</w:t>
      </w:r>
    </w:p>
    <w:p>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4.文化旅游体育与传媒（类）（款）（项）: 支出决算为</w:t>
      </w:r>
      <w:r>
        <w:rPr>
          <w:rFonts w:hint="eastAsia" w:ascii="仿宋" w:hAnsi="仿宋" w:eastAsia="仿宋"/>
          <w:color w:val="000000"/>
          <w:sz w:val="32"/>
          <w:szCs w:val="32"/>
          <w:lang w:eastAsia="zh-CN"/>
        </w:rPr>
        <w:t>0</w:t>
      </w:r>
      <w:r>
        <w:rPr>
          <w:rFonts w:hint="eastAsia" w:ascii="仿宋" w:hAnsi="仿宋" w:eastAsia="仿宋"/>
          <w:color w:val="000000"/>
          <w:sz w:val="32"/>
          <w:szCs w:val="32"/>
        </w:rPr>
        <w:t>万元，完成预算</w:t>
      </w:r>
      <w:r>
        <w:rPr>
          <w:rFonts w:hint="eastAsia" w:ascii="仿宋" w:hAnsi="仿宋" w:eastAsia="仿宋"/>
          <w:color w:val="000000"/>
          <w:sz w:val="32"/>
          <w:szCs w:val="32"/>
          <w:lang w:eastAsia="zh-CN"/>
        </w:rPr>
        <w:t>0</w:t>
      </w:r>
      <w:r>
        <w:rPr>
          <w:rFonts w:hint="eastAsia" w:ascii="仿宋" w:hAnsi="仿宋" w:eastAsia="仿宋"/>
          <w:color w:val="000000"/>
          <w:sz w:val="32"/>
          <w:szCs w:val="32"/>
        </w:rPr>
        <w:t>%</w:t>
      </w:r>
      <w:r>
        <w:rPr>
          <w:rFonts w:hint="eastAsia" w:ascii="仿宋" w:hAnsi="仿宋" w:eastAsia="仿宋"/>
          <w:color w:val="000000"/>
          <w:sz w:val="32"/>
          <w:szCs w:val="32"/>
          <w:lang w:eastAsia="zh-CN"/>
        </w:rPr>
        <w:t>。</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val="en-US" w:eastAsia="zh-CN"/>
        </w:rPr>
        <w:t>5.社会保障和就业（类）行政事业单位养老支出（款）机关事业单位基本养老保险缴费支出（项）:</w:t>
      </w:r>
      <w:r>
        <w:rPr>
          <w:rFonts w:hint="eastAsia" w:ascii="仿宋" w:hAnsi="仿宋" w:eastAsia="仿宋"/>
          <w:color w:val="000000"/>
          <w:sz w:val="32"/>
          <w:szCs w:val="32"/>
        </w:rPr>
        <w:t xml:space="preserve"> 支出决算为</w:t>
      </w:r>
      <w:r>
        <w:rPr>
          <w:rFonts w:hint="eastAsia" w:ascii="仿宋" w:hAnsi="仿宋" w:eastAsia="仿宋"/>
          <w:color w:val="000000"/>
          <w:sz w:val="32"/>
          <w:szCs w:val="32"/>
          <w:lang w:val="en-US" w:eastAsia="zh-CN"/>
        </w:rPr>
        <w:t>2.61</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2020年预算为2.61万元,</w:t>
      </w:r>
      <w:r>
        <w:rPr>
          <w:rFonts w:hint="eastAsia" w:ascii="仿宋" w:hAnsi="仿宋" w:eastAsia="仿宋"/>
          <w:color w:val="000000"/>
          <w:sz w:val="32"/>
          <w:szCs w:val="32"/>
        </w:rPr>
        <w:t>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%，决算数等于预算数的主要原因是</w:t>
      </w:r>
      <w:r>
        <w:rPr>
          <w:rFonts w:hint="eastAsia" w:ascii="仿宋" w:hAnsi="仿宋" w:eastAsia="仿宋"/>
          <w:color w:val="000000"/>
          <w:sz w:val="32"/>
          <w:szCs w:val="32"/>
          <w:lang w:eastAsia="zh-CN"/>
        </w:rPr>
        <w:t>严格按照预算执行，收支平衡</w:t>
      </w:r>
      <w:r>
        <w:rPr>
          <w:rFonts w:hint="eastAsia" w:ascii="仿宋" w:hAnsi="仿宋" w:eastAsia="仿宋"/>
          <w:color w:val="000000"/>
          <w:sz w:val="32"/>
          <w:szCs w:val="32"/>
        </w:rPr>
        <w:t>。</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val="en-US" w:eastAsia="zh-CN"/>
        </w:rPr>
        <w:t>6.社会保障和就业（类）其他社会保障和就业支出（款）其他社会保障和就业支出（项）:</w:t>
      </w:r>
      <w:r>
        <w:rPr>
          <w:rFonts w:hint="eastAsia" w:ascii="仿宋" w:hAnsi="仿宋" w:eastAsia="仿宋"/>
          <w:color w:val="000000"/>
          <w:sz w:val="32"/>
          <w:szCs w:val="32"/>
        </w:rPr>
        <w:t>支出决算为</w:t>
      </w:r>
      <w:r>
        <w:rPr>
          <w:rFonts w:hint="eastAsia" w:ascii="仿宋" w:hAnsi="仿宋" w:eastAsia="仿宋"/>
          <w:color w:val="000000"/>
          <w:sz w:val="32"/>
          <w:szCs w:val="32"/>
          <w:lang w:val="en-US" w:eastAsia="zh-CN"/>
        </w:rPr>
        <w:t>0.28</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2020年预算为0.28万元,</w:t>
      </w:r>
      <w:r>
        <w:rPr>
          <w:rFonts w:hint="eastAsia" w:ascii="仿宋" w:hAnsi="仿宋" w:eastAsia="仿宋"/>
          <w:color w:val="000000"/>
          <w:sz w:val="32"/>
          <w:szCs w:val="32"/>
        </w:rPr>
        <w:t>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%，决算数等于预算数的主要原因是</w:t>
      </w:r>
      <w:r>
        <w:rPr>
          <w:rFonts w:hint="eastAsia" w:ascii="仿宋" w:hAnsi="仿宋" w:eastAsia="仿宋"/>
          <w:color w:val="000000"/>
          <w:sz w:val="32"/>
          <w:szCs w:val="32"/>
          <w:lang w:eastAsia="zh-CN"/>
        </w:rPr>
        <w:t>严格按照预算执行，收支平衡</w:t>
      </w:r>
      <w:r>
        <w:rPr>
          <w:rFonts w:hint="eastAsia" w:ascii="仿宋" w:hAnsi="仿宋" w:eastAsia="仿宋"/>
          <w:color w:val="000000"/>
          <w:sz w:val="32"/>
          <w:szCs w:val="32"/>
        </w:rPr>
        <w:t>。</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val="en-US" w:eastAsia="zh-CN"/>
        </w:rPr>
        <w:t>7.卫生健康（类）行政事业单位医疗（款）事业单位医疗（项）:</w:t>
      </w:r>
      <w:r>
        <w:rPr>
          <w:rFonts w:hint="eastAsia" w:ascii="仿宋" w:hAnsi="仿宋" w:eastAsia="仿宋"/>
          <w:color w:val="000000"/>
          <w:sz w:val="32"/>
          <w:szCs w:val="32"/>
        </w:rPr>
        <w:t>支出决算为</w:t>
      </w:r>
      <w:r>
        <w:rPr>
          <w:rFonts w:hint="eastAsia" w:ascii="仿宋" w:hAnsi="仿宋" w:eastAsia="仿宋"/>
          <w:color w:val="000000"/>
          <w:sz w:val="32"/>
          <w:szCs w:val="32"/>
          <w:lang w:val="en-US" w:eastAsia="zh-CN"/>
        </w:rPr>
        <w:t>1.53</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2020年预算为1.53万元,</w:t>
      </w:r>
      <w:r>
        <w:rPr>
          <w:rFonts w:hint="eastAsia" w:ascii="仿宋" w:hAnsi="仿宋" w:eastAsia="仿宋"/>
          <w:color w:val="000000"/>
          <w:sz w:val="32"/>
          <w:szCs w:val="32"/>
        </w:rPr>
        <w:t>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%，决算数等于预算数的主要原因是</w:t>
      </w:r>
      <w:r>
        <w:rPr>
          <w:rFonts w:hint="eastAsia" w:ascii="仿宋" w:hAnsi="仿宋" w:eastAsia="仿宋"/>
          <w:color w:val="000000"/>
          <w:sz w:val="32"/>
          <w:szCs w:val="32"/>
          <w:lang w:eastAsia="zh-CN"/>
        </w:rPr>
        <w:t>严格按照预算执行，收支平衡</w:t>
      </w:r>
      <w:r>
        <w:rPr>
          <w:rFonts w:hint="eastAsia" w:ascii="仿宋" w:hAnsi="仿宋" w:eastAsia="仿宋"/>
          <w:color w:val="000000"/>
          <w:sz w:val="32"/>
          <w:szCs w:val="32"/>
        </w:rPr>
        <w:t>。</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val="en-US" w:eastAsia="zh-CN"/>
        </w:rPr>
        <w:t xml:space="preserve"> 8.</w:t>
      </w:r>
      <w:r>
        <w:rPr>
          <w:rFonts w:hint="eastAsia" w:ascii="仿宋" w:hAnsi="仿宋" w:eastAsia="仿宋"/>
          <w:color w:val="000000"/>
          <w:sz w:val="32"/>
          <w:szCs w:val="32"/>
        </w:rPr>
        <w:t>住房保障（类）住房改革支出（款）住房公积金（项）:支出决算为</w:t>
      </w:r>
      <w:r>
        <w:rPr>
          <w:rFonts w:hint="eastAsia" w:ascii="仿宋" w:hAnsi="仿宋" w:eastAsia="仿宋"/>
          <w:color w:val="000000"/>
          <w:sz w:val="32"/>
          <w:szCs w:val="32"/>
          <w:lang w:val="en-US" w:eastAsia="zh-CN"/>
        </w:rPr>
        <w:t>1.99</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2020年预算为1.99万元,</w:t>
      </w:r>
      <w:r>
        <w:rPr>
          <w:rFonts w:hint="eastAsia" w:ascii="仿宋" w:hAnsi="仿宋" w:eastAsia="仿宋"/>
          <w:color w:val="000000"/>
          <w:sz w:val="32"/>
          <w:szCs w:val="32"/>
        </w:rPr>
        <w:t>完成预算</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%，决算数等于预算数的主要原因是</w:t>
      </w:r>
      <w:r>
        <w:rPr>
          <w:rFonts w:hint="eastAsia" w:ascii="仿宋" w:hAnsi="仿宋" w:eastAsia="仿宋"/>
          <w:color w:val="000000"/>
          <w:sz w:val="32"/>
          <w:szCs w:val="32"/>
          <w:lang w:eastAsia="zh-CN"/>
        </w:rPr>
        <w:t>严格按照预算执行，收支平衡</w:t>
      </w:r>
      <w:r>
        <w:rPr>
          <w:rFonts w:hint="eastAsia" w:ascii="仿宋" w:hAnsi="仿宋" w:eastAsia="仿宋"/>
          <w:color w:val="000000"/>
          <w:sz w:val="32"/>
          <w:szCs w:val="32"/>
        </w:rPr>
        <w:t>。</w:t>
      </w:r>
    </w:p>
    <w:p>
      <w:pPr>
        <w:spacing w:line="600" w:lineRule="exact"/>
        <w:ind w:firstLine="640"/>
        <w:outlineLvl w:val="2"/>
        <w:rPr>
          <w:rFonts w:hint="eastAsia" w:ascii="仿宋" w:hAnsi="仿宋" w:eastAsia="仿宋"/>
          <w:b/>
          <w:color w:val="000000"/>
          <w:sz w:val="32"/>
          <w:szCs w:val="32"/>
        </w:rPr>
      </w:pPr>
      <w:bookmarkStart w:id="35" w:name="_Toc15396608"/>
      <w:bookmarkStart w:id="36" w:name="_Toc15377214"/>
      <w:bookmarkStart w:id="37" w:name="_Toc31021"/>
      <w:r>
        <w:rPr>
          <w:rFonts w:hint="eastAsia" w:ascii="仿宋" w:hAnsi="仿宋" w:eastAsia="仿宋"/>
          <w:b/>
          <w:color w:val="000000"/>
          <w:sz w:val="32"/>
          <w:szCs w:val="32"/>
        </w:rPr>
        <w:t>六、一般公共预算财政拨款基本支出决算情况说明</w:t>
      </w:r>
      <w:bookmarkEnd w:id="35"/>
      <w:bookmarkEnd w:id="36"/>
      <w:bookmarkEnd w:id="37"/>
      <w:r>
        <w:rPr>
          <w:rFonts w:hint="eastAsia" w:ascii="仿宋" w:hAnsi="仿宋" w:eastAsia="仿宋"/>
          <w:b/>
          <w:color w:val="000000"/>
          <w:sz w:val="32"/>
          <w:szCs w:val="32"/>
        </w:rPr>
        <w:tab/>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2020年一般公共预算财政拨款基本支出</w:t>
      </w:r>
      <w:r>
        <w:rPr>
          <w:rFonts w:hint="eastAsia" w:ascii="仿宋" w:hAnsi="仿宋" w:eastAsia="仿宋"/>
          <w:color w:val="000000"/>
          <w:sz w:val="32"/>
          <w:szCs w:val="32"/>
          <w:lang w:val="en-US" w:eastAsia="zh-CN"/>
        </w:rPr>
        <w:t>33.69</w:t>
      </w:r>
      <w:r>
        <w:rPr>
          <w:rFonts w:hint="eastAsia" w:ascii="仿宋" w:hAnsi="仿宋" w:eastAsia="仿宋"/>
          <w:color w:val="000000"/>
          <w:sz w:val="32"/>
          <w:szCs w:val="32"/>
        </w:rPr>
        <w:t>万元，其中：</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25.63</w:t>
      </w:r>
      <w:r>
        <w:rPr>
          <w:rFonts w:hint="eastAsia" w:ascii="仿宋" w:hAnsi="仿宋" w:eastAsia="仿宋"/>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仿宋" w:hAnsi="仿宋" w:eastAsia="仿宋"/>
          <w:color w:val="000000"/>
          <w:sz w:val="32"/>
          <w:szCs w:val="32"/>
        </w:rPr>
        <w:br w:type="textWrapping"/>
      </w:r>
      <w:r>
        <w:rPr>
          <w:rFonts w:hint="eastAsia" w:ascii="仿宋" w:hAnsi="仿宋" w:eastAsia="仿宋"/>
          <w:color w:val="000000"/>
          <w:sz w:val="32"/>
          <w:szCs w:val="32"/>
        </w:rPr>
        <w:t>　　日常公用经费</w:t>
      </w:r>
      <w:r>
        <w:rPr>
          <w:rFonts w:hint="eastAsia" w:ascii="仿宋" w:hAnsi="仿宋" w:eastAsia="仿宋"/>
          <w:color w:val="000000"/>
          <w:sz w:val="32"/>
          <w:szCs w:val="32"/>
          <w:lang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p>
    <w:p>
      <w:pPr>
        <w:spacing w:line="600" w:lineRule="exact"/>
        <w:ind w:firstLine="640"/>
        <w:outlineLvl w:val="1"/>
        <w:rPr>
          <w:rStyle w:val="17"/>
          <w:rFonts w:ascii="黑体" w:hAnsi="黑体" w:eastAsia="黑体"/>
          <w:b w:val="0"/>
        </w:rPr>
      </w:pPr>
      <w:bookmarkStart w:id="38" w:name="_Toc15396609"/>
      <w:bookmarkStart w:id="39" w:name="_Toc6926"/>
      <w:bookmarkStart w:id="40" w:name="_Toc15377215"/>
      <w:r>
        <w:rPr>
          <w:rFonts w:hint="eastAsia" w:ascii="黑体" w:eastAsia="黑体"/>
          <w:color w:val="000000"/>
          <w:sz w:val="32"/>
          <w:szCs w:val="32"/>
        </w:rPr>
        <w:t>七、</w:t>
      </w:r>
      <w:r>
        <w:rPr>
          <w:rStyle w:val="17"/>
          <w:rFonts w:hint="eastAsia" w:ascii="黑体" w:hAnsi="黑体" w:eastAsia="黑体"/>
        </w:rPr>
        <w:t>“</w:t>
      </w:r>
      <w:r>
        <w:rPr>
          <w:rStyle w:val="17"/>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 w:val="32"/>
          <w:szCs w:val="32"/>
        </w:rPr>
      </w:pPr>
      <w:bookmarkStart w:id="41" w:name="_Toc15377216"/>
      <w:r>
        <w:rPr>
          <w:rFonts w:hint="eastAsia" w:ascii="仿宋" w:hAnsi="仿宋" w:eastAsia="仿宋"/>
          <w:b/>
          <w:color w:val="000000"/>
          <w:sz w:val="32"/>
          <w:szCs w:val="32"/>
        </w:rPr>
        <w:t>（一）“三公”经费财政拨款支出决算总体情况说明</w:t>
      </w:r>
      <w:bookmarkEnd w:id="41"/>
    </w:p>
    <w:p>
      <w:pPr>
        <w:spacing w:line="600" w:lineRule="exact"/>
        <w:ind w:firstLine="640"/>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eastAsia="zh-CN"/>
        </w:rPr>
        <w:t>0</w:t>
      </w:r>
      <w:r>
        <w:rPr>
          <w:rFonts w:hint="eastAsia" w:ascii="仿宋" w:hAnsi="仿宋" w:eastAsia="仿宋"/>
          <w:color w:val="000000"/>
          <w:sz w:val="32"/>
          <w:szCs w:val="32"/>
        </w:rPr>
        <w:t>万元，完成预算</w:t>
      </w:r>
      <w:r>
        <w:rPr>
          <w:rFonts w:hint="eastAsia" w:ascii="仿宋" w:hAnsi="仿宋" w:eastAsia="仿宋"/>
          <w:color w:val="000000"/>
          <w:sz w:val="32"/>
          <w:szCs w:val="32"/>
          <w:lang w:eastAsia="zh-CN"/>
        </w:rPr>
        <w:t>0</w:t>
      </w:r>
      <w:r>
        <w:rPr>
          <w:rFonts w:ascii="仿宋" w:hAnsi="仿宋" w:eastAsia="仿宋"/>
          <w:color w:val="000000"/>
          <w:sz w:val="32"/>
          <w:szCs w:val="32"/>
        </w:rPr>
        <w:t>%</w:t>
      </w:r>
      <w:r>
        <w:rPr>
          <w:rFonts w:hint="eastAsia" w:ascii="仿宋" w:hAnsi="仿宋" w:eastAsia="仿宋"/>
          <w:color w:val="000000"/>
          <w:sz w:val="32"/>
          <w:szCs w:val="32"/>
          <w:lang w:eastAsia="zh-CN"/>
        </w:rPr>
        <w:t>。</w:t>
      </w:r>
    </w:p>
    <w:p>
      <w:pPr>
        <w:spacing w:line="600" w:lineRule="exact"/>
        <w:ind w:firstLine="640"/>
        <w:outlineLvl w:val="2"/>
        <w:rPr>
          <w:rFonts w:ascii="仿宋" w:hAnsi="仿宋" w:eastAsia="仿宋"/>
          <w:b/>
          <w:color w:val="000000"/>
          <w:sz w:val="32"/>
          <w:szCs w:val="32"/>
        </w:rPr>
      </w:pPr>
      <w:bookmarkStart w:id="42" w:name="_Toc15377217"/>
      <w:r>
        <w:rPr>
          <w:rFonts w:hint="eastAsia" w:ascii="仿宋" w:hAnsi="仿宋" w:eastAsia="仿宋"/>
          <w:b/>
          <w:color w:val="000000"/>
          <w:sz w:val="32"/>
          <w:szCs w:val="32"/>
        </w:rPr>
        <w:t>（二）“三公”经费财政拨款支出决算具体情况说明</w:t>
      </w:r>
      <w:bookmarkEnd w:id="42"/>
    </w:p>
    <w:p>
      <w:pPr>
        <w:spacing w:line="600" w:lineRule="exact"/>
        <w:ind w:firstLine="640"/>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eastAsia="zh-CN"/>
        </w:rPr>
        <w:t>0</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eastAsia="zh-CN"/>
        </w:rPr>
        <w:t>0</w:t>
      </w:r>
      <w:r>
        <w:rPr>
          <w:rFonts w:ascii="仿宋" w:hAnsi="仿宋" w:eastAsia="仿宋"/>
          <w:color w:val="000000"/>
          <w:sz w:val="32"/>
          <w:szCs w:val="32"/>
        </w:rPr>
        <w:t>%</w:t>
      </w:r>
      <w:r>
        <w:rPr>
          <w:rFonts w:hint="eastAsia" w:ascii="仿宋" w:hAnsi="仿宋" w:eastAsia="仿宋"/>
          <w:color w:val="000000"/>
          <w:sz w:val="32"/>
          <w:szCs w:val="32"/>
        </w:rPr>
        <w:t>。具体情况如下：</w:t>
      </w:r>
    </w:p>
    <w:p>
      <w:pPr>
        <w:pStyle w:val="15"/>
      </w:pPr>
      <w:r>
        <w:rPr>
          <w:rFonts w:hint="default" w:ascii="Times New Roman" w:hAnsi="Times New Roman" w:eastAsia="仿宋_GB2312" w:cs="Times New Roman"/>
          <w:color w:val="000000"/>
          <w:sz w:val="32"/>
          <w:szCs w:val="32"/>
        </w:rPr>
        <w:drawing>
          <wp:anchor distT="0" distB="0" distL="114300" distR="114300" simplePos="0" relativeHeight="251662336" behindDoc="0" locked="0" layoutInCell="1" allowOverlap="1">
            <wp:simplePos x="0" y="0"/>
            <wp:positionH relativeFrom="column">
              <wp:posOffset>66040</wp:posOffset>
            </wp:positionH>
            <wp:positionV relativeFrom="paragraph">
              <wp:posOffset>640080</wp:posOffset>
            </wp:positionV>
            <wp:extent cx="5147310" cy="2113915"/>
            <wp:effectExtent l="0" t="0" r="0" b="0"/>
            <wp:wrapTopAndBottom/>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2"/>
                    <a:stretch>
                      <a:fillRect/>
                    </a:stretch>
                  </pic:blipFill>
                  <pic:spPr>
                    <a:xfrm>
                      <a:off x="0" y="0"/>
                      <a:ext cx="5147310" cy="2113915"/>
                    </a:xfrm>
                    <a:prstGeom prst="rect">
                      <a:avLst/>
                    </a:prstGeom>
                    <a:noFill/>
                    <a:ln>
                      <a:noFill/>
                    </a:ln>
                  </pic:spPr>
                </pic:pic>
              </a:graphicData>
            </a:graphic>
          </wp:anchor>
        </w:drawing>
      </w:r>
    </w:p>
    <w:p>
      <w:pPr>
        <w:pStyle w:val="15"/>
      </w:pP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：“三公”经费财政拨款支出结构）（饼状图）</w:t>
      </w:r>
    </w:p>
    <w:p>
      <w:pPr>
        <w:numPr>
          <w:ilvl w:val="0"/>
          <w:numId w:val="3"/>
        </w:numPr>
        <w:spacing w:line="600" w:lineRule="exact"/>
        <w:ind w:firstLine="640"/>
        <w:rPr>
          <w:rFonts w:hint="eastAsia" w:ascii="仿宋_GB2312"/>
          <w:color w:val="000000"/>
          <w:sz w:val="32"/>
          <w:szCs w:val="32"/>
          <w:lang w:eastAsia="zh-CN"/>
        </w:rPr>
      </w:pPr>
      <w:r>
        <w:rPr>
          <w:rFonts w:hint="eastAsia" w:ascii="仿宋_GB2312" w:eastAsia="仿宋_GB2312"/>
          <w:b/>
          <w:color w:val="000000"/>
          <w:sz w:val="32"/>
          <w:szCs w:val="32"/>
        </w:rPr>
        <w:t>因公出国（境）经费支出</w:t>
      </w:r>
      <w:r>
        <w:rPr>
          <w:rFonts w:hint="eastAsia" w:ascii="仿宋_GB2312"/>
          <w:color w:val="000000"/>
          <w:sz w:val="32"/>
          <w:szCs w:val="32"/>
          <w:lang w:eastAsia="zh-CN"/>
        </w:rPr>
        <w:t>0</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eastAsia="zh-CN"/>
        </w:rPr>
        <w:t>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hint="eastAsia" w:ascii="仿宋_GB2312"/>
          <w:color w:val="000000"/>
          <w:sz w:val="32"/>
          <w:szCs w:val="32"/>
          <w:lang w:eastAsia="zh-CN"/>
        </w:rPr>
        <w:t>0</w:t>
      </w:r>
      <w:r>
        <w:rPr>
          <w:rFonts w:hint="eastAsia" w:ascii="仿宋_GB2312" w:eastAsia="仿宋_GB2312"/>
          <w:color w:val="000000"/>
          <w:sz w:val="32"/>
          <w:szCs w:val="32"/>
        </w:rPr>
        <w:t>次，出国（境）</w:t>
      </w:r>
      <w:r>
        <w:rPr>
          <w:rFonts w:hint="eastAsia" w:ascii="仿宋_GB2312"/>
          <w:color w:val="000000"/>
          <w:sz w:val="32"/>
          <w:szCs w:val="32"/>
          <w:lang w:eastAsia="zh-CN"/>
        </w:rPr>
        <w:t>0</w:t>
      </w:r>
      <w:r>
        <w:rPr>
          <w:rFonts w:hint="eastAsia" w:ascii="仿宋_GB2312" w:eastAsia="仿宋_GB2312"/>
          <w:color w:val="000000"/>
          <w:sz w:val="32"/>
          <w:szCs w:val="32"/>
        </w:rPr>
        <w:t>人。公务用车购置及运行维护费支出决算</w:t>
      </w:r>
      <w:r>
        <w:rPr>
          <w:rFonts w:hint="eastAsia" w:ascii="仿宋_GB2312"/>
          <w:color w:val="000000"/>
          <w:sz w:val="32"/>
          <w:szCs w:val="32"/>
          <w:lang w:eastAsia="zh-CN"/>
        </w:rPr>
        <w:t>与</w:t>
      </w:r>
      <w:r>
        <w:rPr>
          <w:rFonts w:hint="eastAsia" w:ascii="仿宋_GB2312"/>
          <w:color w:val="000000"/>
          <w:sz w:val="32"/>
          <w:szCs w:val="32"/>
          <w:lang w:val="en-US" w:eastAsia="zh-CN"/>
        </w:rPr>
        <w:t>2019</w:t>
      </w:r>
      <w:r>
        <w:rPr>
          <w:rFonts w:hint="eastAsia" w:ascii="仿宋_GB2312" w:eastAsia="仿宋_GB2312"/>
          <w:color w:val="000000"/>
          <w:sz w:val="32"/>
          <w:szCs w:val="32"/>
        </w:rPr>
        <w:t>年</w:t>
      </w:r>
      <w:r>
        <w:rPr>
          <w:rFonts w:hint="eastAsia" w:ascii="仿宋_GB2312"/>
          <w:color w:val="000000"/>
          <w:sz w:val="32"/>
          <w:szCs w:val="32"/>
          <w:lang w:eastAsia="zh-CN"/>
        </w:rPr>
        <w:t>持平。</w:t>
      </w:r>
    </w:p>
    <w:p>
      <w:pPr>
        <w:numPr>
          <w:ilvl w:val="0"/>
          <w:numId w:val="0"/>
        </w:numPr>
        <w:spacing w:line="600" w:lineRule="exact"/>
        <w:ind w:firstLine="643" w:firstLineChars="200"/>
        <w:rPr>
          <w:rFonts w:ascii="仿宋_GB2312" w:eastAsia="仿宋_GB2312"/>
          <w:b/>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color w:val="000000"/>
          <w:sz w:val="32"/>
          <w:szCs w:val="32"/>
          <w:lang w:eastAsia="zh-CN"/>
        </w:rPr>
        <w:t>0</w:t>
      </w:r>
      <w:r>
        <w:rPr>
          <w:rFonts w:hint="eastAsia" w:ascii="仿宋_GB2312" w:eastAsia="仿宋_GB2312"/>
          <w:color w:val="000000"/>
          <w:sz w:val="32"/>
          <w:szCs w:val="32"/>
        </w:rPr>
        <w:t>万元</w:t>
      </w:r>
      <w:r>
        <w:rPr>
          <w:rFonts w:ascii="仿宋_GB2312" w:eastAsia="仿宋_GB2312"/>
          <w:color w:val="000000"/>
          <w:sz w:val="32"/>
          <w:szCs w:val="32"/>
        </w:rPr>
        <w:t>,</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eastAsia="zh-CN"/>
        </w:rPr>
        <w:t>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w:t>
      </w:r>
      <w:r>
        <w:rPr>
          <w:rFonts w:hint="eastAsia" w:ascii="仿宋_GB2312"/>
          <w:color w:val="000000"/>
          <w:sz w:val="32"/>
          <w:szCs w:val="32"/>
          <w:lang w:eastAsia="zh-CN"/>
        </w:rPr>
        <w:t>与</w:t>
      </w:r>
      <w:r>
        <w:rPr>
          <w:rFonts w:hint="eastAsia" w:ascii="仿宋_GB2312"/>
          <w:color w:val="000000"/>
          <w:sz w:val="32"/>
          <w:szCs w:val="32"/>
          <w:lang w:val="en-US" w:eastAsia="zh-CN"/>
        </w:rPr>
        <w:t>2019</w:t>
      </w:r>
      <w:r>
        <w:rPr>
          <w:rFonts w:hint="eastAsia" w:ascii="仿宋_GB2312" w:eastAsia="仿宋_GB2312"/>
          <w:color w:val="000000"/>
          <w:sz w:val="32"/>
          <w:szCs w:val="32"/>
        </w:rPr>
        <w:t>年</w:t>
      </w:r>
      <w:r>
        <w:rPr>
          <w:rFonts w:hint="eastAsia" w:ascii="仿宋_GB2312"/>
          <w:color w:val="000000"/>
          <w:sz w:val="32"/>
          <w:szCs w:val="32"/>
          <w:lang w:eastAsia="zh-CN"/>
        </w:rPr>
        <w:t>持平。</w:t>
      </w:r>
    </w:p>
    <w:p>
      <w:pPr>
        <w:spacing w:line="60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color w:val="000000"/>
          <w:sz w:val="32"/>
          <w:szCs w:val="32"/>
          <w:lang w:eastAsia="zh-CN"/>
        </w:rPr>
        <w:t>0</w:t>
      </w:r>
      <w:r>
        <w:rPr>
          <w:rFonts w:hint="eastAsia" w:ascii="仿宋_GB2312" w:eastAsia="仿宋_GB2312"/>
          <w:color w:val="000000"/>
          <w:sz w:val="32"/>
          <w:szCs w:val="32"/>
        </w:rPr>
        <w:t>万元。全年按规定更新购置公务用车</w:t>
      </w:r>
      <w:r>
        <w:rPr>
          <w:rFonts w:hint="eastAsia" w:ascii="仿宋_GB2312"/>
          <w:color w:val="000000"/>
          <w:sz w:val="32"/>
          <w:szCs w:val="32"/>
          <w:lang w:eastAsia="zh-CN"/>
        </w:rPr>
        <w:t>0</w:t>
      </w:r>
      <w:r>
        <w:rPr>
          <w:rFonts w:hint="eastAsia" w:ascii="仿宋_GB2312" w:eastAsia="仿宋_GB2312"/>
          <w:color w:val="000000"/>
          <w:sz w:val="32"/>
          <w:szCs w:val="32"/>
        </w:rPr>
        <w:t>辆，其中：轿车</w:t>
      </w:r>
      <w:r>
        <w:rPr>
          <w:rFonts w:hint="eastAsia" w:ascii="仿宋_GB2312"/>
          <w:color w:val="000000"/>
          <w:sz w:val="32"/>
          <w:szCs w:val="32"/>
          <w:lang w:eastAsia="zh-CN"/>
        </w:rPr>
        <w:t>0</w:t>
      </w:r>
      <w:r>
        <w:rPr>
          <w:rFonts w:hint="eastAsia" w:ascii="仿宋_GB2312" w:eastAsia="仿宋_GB2312"/>
          <w:color w:val="000000"/>
          <w:sz w:val="32"/>
          <w:szCs w:val="32"/>
        </w:rPr>
        <w:t>辆、金额</w:t>
      </w:r>
      <w:r>
        <w:rPr>
          <w:rFonts w:hint="eastAsia" w:ascii="仿宋_GB2312"/>
          <w:color w:val="000000"/>
          <w:sz w:val="32"/>
          <w:szCs w:val="32"/>
          <w:lang w:eastAsia="zh-CN"/>
        </w:rPr>
        <w:t>0</w:t>
      </w:r>
      <w:r>
        <w:rPr>
          <w:rFonts w:hint="eastAsia" w:ascii="仿宋_GB2312" w:eastAsia="仿宋_GB2312"/>
          <w:color w:val="000000"/>
          <w:sz w:val="32"/>
          <w:szCs w:val="32"/>
        </w:rPr>
        <w:t>万元，越野车</w:t>
      </w:r>
      <w:r>
        <w:rPr>
          <w:rFonts w:hint="eastAsia" w:ascii="仿宋_GB2312"/>
          <w:color w:val="000000"/>
          <w:sz w:val="32"/>
          <w:szCs w:val="32"/>
          <w:lang w:eastAsia="zh-CN"/>
        </w:rPr>
        <w:t>0</w:t>
      </w:r>
      <w:r>
        <w:rPr>
          <w:rFonts w:hint="eastAsia" w:ascii="仿宋_GB2312" w:eastAsia="仿宋_GB2312"/>
          <w:color w:val="000000"/>
          <w:sz w:val="32"/>
          <w:szCs w:val="32"/>
        </w:rPr>
        <w:t>辆、金额</w:t>
      </w:r>
      <w:r>
        <w:rPr>
          <w:rFonts w:hint="eastAsia" w:ascii="仿宋_GB2312"/>
          <w:color w:val="000000"/>
          <w:sz w:val="32"/>
          <w:szCs w:val="32"/>
          <w:lang w:eastAsia="zh-CN"/>
        </w:rPr>
        <w:t>0</w:t>
      </w:r>
      <w:r>
        <w:rPr>
          <w:rFonts w:hint="eastAsia" w:ascii="仿宋_GB2312" w:eastAsia="仿宋_GB2312"/>
          <w:color w:val="000000"/>
          <w:sz w:val="32"/>
          <w:szCs w:val="32"/>
        </w:rPr>
        <w:t>万元，载客汽车</w:t>
      </w:r>
      <w:r>
        <w:rPr>
          <w:rFonts w:hint="eastAsia" w:ascii="仿宋_GB2312"/>
          <w:color w:val="000000"/>
          <w:sz w:val="32"/>
          <w:szCs w:val="32"/>
          <w:lang w:eastAsia="zh-CN"/>
        </w:rPr>
        <w:t>0</w:t>
      </w:r>
      <w:r>
        <w:rPr>
          <w:rFonts w:hint="eastAsia" w:ascii="仿宋_GB2312" w:eastAsia="仿宋_GB2312"/>
          <w:color w:val="000000"/>
          <w:sz w:val="32"/>
          <w:szCs w:val="32"/>
        </w:rPr>
        <w:t>辆、金额</w:t>
      </w:r>
      <w:r>
        <w:rPr>
          <w:rFonts w:hint="eastAsia" w:ascii="仿宋_GB2312"/>
          <w:color w:val="000000"/>
          <w:sz w:val="32"/>
          <w:szCs w:val="32"/>
          <w:lang w:eastAsia="zh-CN"/>
        </w:rPr>
        <w:t>0</w:t>
      </w:r>
      <w:r>
        <w:rPr>
          <w:rFonts w:hint="eastAsia" w:ascii="仿宋_GB2312" w:eastAsia="仿宋_GB2312"/>
          <w:color w:val="000000"/>
          <w:sz w:val="32"/>
          <w:szCs w:val="32"/>
        </w:rPr>
        <w:t>万元</w:t>
      </w:r>
      <w:r>
        <w:rPr>
          <w:rFonts w:hint="eastAsia" w:ascii="仿宋_GB2312"/>
          <w:color w:val="000000"/>
          <w:sz w:val="32"/>
          <w:szCs w:val="32"/>
          <w:lang w:eastAsia="zh-CN"/>
        </w:rPr>
        <w:t>，</w:t>
      </w:r>
      <w:r>
        <w:rPr>
          <w:rFonts w:hint="eastAsia" w:ascii="仿宋_GB2312" w:eastAsia="仿宋_GB2312"/>
          <w:color w:val="000000"/>
          <w:sz w:val="32"/>
          <w:szCs w:val="32"/>
        </w:rPr>
        <w:t>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color w:val="000000"/>
          <w:sz w:val="32"/>
          <w:szCs w:val="32"/>
          <w:lang w:eastAsia="zh-CN"/>
        </w:rPr>
        <w:t>0</w:t>
      </w:r>
      <w:r>
        <w:rPr>
          <w:rFonts w:hint="eastAsia" w:ascii="仿宋_GB2312" w:eastAsia="仿宋_GB2312"/>
          <w:color w:val="000000"/>
          <w:sz w:val="32"/>
          <w:szCs w:val="32"/>
        </w:rPr>
        <w:t>辆，其中：轿车</w:t>
      </w:r>
      <w:r>
        <w:rPr>
          <w:rFonts w:hint="eastAsia" w:ascii="仿宋_GB2312"/>
          <w:color w:val="000000"/>
          <w:sz w:val="32"/>
          <w:szCs w:val="32"/>
          <w:lang w:eastAsia="zh-CN"/>
        </w:rPr>
        <w:t>0</w:t>
      </w:r>
      <w:r>
        <w:rPr>
          <w:rFonts w:hint="eastAsia" w:ascii="仿宋_GB2312" w:eastAsia="仿宋_GB2312"/>
          <w:color w:val="000000"/>
          <w:sz w:val="32"/>
          <w:szCs w:val="32"/>
        </w:rPr>
        <w:t>辆、越野车</w:t>
      </w:r>
      <w:r>
        <w:rPr>
          <w:rFonts w:hint="eastAsia" w:ascii="仿宋_GB2312"/>
          <w:color w:val="000000"/>
          <w:sz w:val="32"/>
          <w:szCs w:val="32"/>
          <w:lang w:eastAsia="zh-CN"/>
        </w:rPr>
        <w:t>0</w:t>
      </w:r>
      <w:r>
        <w:rPr>
          <w:rFonts w:hint="eastAsia" w:ascii="仿宋_GB2312" w:eastAsia="仿宋_GB2312"/>
          <w:color w:val="000000"/>
          <w:sz w:val="32"/>
          <w:szCs w:val="32"/>
        </w:rPr>
        <w:t>辆、载客汽车</w:t>
      </w:r>
      <w:r>
        <w:rPr>
          <w:rFonts w:hint="eastAsia" w:ascii="仿宋_GB2312"/>
          <w:color w:val="000000"/>
          <w:sz w:val="32"/>
          <w:szCs w:val="32"/>
          <w:lang w:eastAsia="zh-CN"/>
        </w:rPr>
        <w:t>0</w:t>
      </w:r>
      <w:r>
        <w:rPr>
          <w:rFonts w:hint="eastAsia" w:ascii="仿宋_GB2312" w:eastAsia="仿宋_GB2312"/>
          <w:color w:val="000000"/>
          <w:sz w:val="32"/>
          <w:szCs w:val="32"/>
        </w:rPr>
        <w:t>辆。</w:t>
      </w:r>
    </w:p>
    <w:p>
      <w:pPr>
        <w:spacing w:line="600" w:lineRule="exact"/>
        <w:ind w:firstLine="640"/>
        <w:rPr>
          <w:rFonts w:hint="eastAsia"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color w:val="000000"/>
          <w:sz w:val="32"/>
          <w:szCs w:val="32"/>
          <w:lang w:eastAsia="zh-CN"/>
        </w:rPr>
        <w:t>0</w:t>
      </w:r>
      <w:r>
        <w:rPr>
          <w:rFonts w:hint="eastAsia" w:ascii="仿宋_GB2312" w:eastAsia="仿宋_GB2312"/>
          <w:color w:val="000000"/>
          <w:sz w:val="32"/>
          <w:szCs w:val="32"/>
        </w:rPr>
        <w:t>万元。</w:t>
      </w:r>
    </w:p>
    <w:p>
      <w:pPr>
        <w:numPr>
          <w:ilvl w:val="0"/>
          <w:numId w:val="4"/>
        </w:numPr>
        <w:spacing w:line="600" w:lineRule="exact"/>
        <w:ind w:left="0" w:leftChars="0" w:firstLine="643" w:firstLineChars="200"/>
        <w:rPr>
          <w:rFonts w:ascii="仿宋_GB2312" w:eastAsia="仿宋_GB2312"/>
          <w:color w:val="000000"/>
          <w:sz w:val="32"/>
          <w:szCs w:val="32"/>
        </w:rPr>
      </w:pPr>
      <w:r>
        <w:rPr>
          <w:rFonts w:hint="eastAsia" w:ascii="仿宋_GB2312" w:eastAsia="仿宋_GB2312"/>
          <w:b/>
          <w:color w:val="000000"/>
          <w:sz w:val="32"/>
          <w:szCs w:val="32"/>
        </w:rPr>
        <w:t>公务接待费支出</w:t>
      </w:r>
      <w:r>
        <w:rPr>
          <w:rFonts w:hint="eastAsia" w:ascii="仿宋_GB2312"/>
          <w:color w:val="000000"/>
          <w:sz w:val="32"/>
          <w:szCs w:val="32"/>
          <w:lang w:eastAsia="zh-CN"/>
        </w:rPr>
        <w:t>0</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eastAsia="zh-CN"/>
        </w:rPr>
        <w:t>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2019</w:t>
      </w:r>
      <w:r>
        <w:rPr>
          <w:rFonts w:hint="eastAsia" w:ascii="仿宋_GB2312" w:eastAsia="仿宋_GB2312"/>
          <w:color w:val="000000"/>
          <w:sz w:val="32"/>
          <w:szCs w:val="32"/>
        </w:rPr>
        <w:t>年</w:t>
      </w:r>
      <w:r>
        <w:rPr>
          <w:rFonts w:hint="eastAsia" w:ascii="仿宋_GB2312"/>
          <w:color w:val="000000"/>
          <w:sz w:val="32"/>
          <w:szCs w:val="32"/>
          <w:lang w:eastAsia="zh-CN"/>
        </w:rPr>
        <w:t>持平。</w:t>
      </w:r>
      <w:r>
        <w:rPr>
          <w:rFonts w:hint="eastAsia" w:ascii="仿宋" w:hAnsi="仿宋" w:eastAsia="仿宋"/>
          <w:b/>
          <w:color w:val="000000"/>
          <w:sz w:val="32"/>
          <w:szCs w:val="32"/>
        </w:rPr>
        <w:t>国内公务接待支出</w:t>
      </w:r>
      <w:r>
        <w:rPr>
          <w:rFonts w:hint="eastAsia" w:ascii="仿宋" w:hAnsi="仿宋" w:eastAsia="仿宋"/>
          <w:color w:val="000000"/>
          <w:sz w:val="32"/>
          <w:szCs w:val="32"/>
          <w:lang w:eastAsia="zh-CN"/>
        </w:rPr>
        <w:t>0</w:t>
      </w:r>
      <w:r>
        <w:rPr>
          <w:rFonts w:hint="eastAsia" w:ascii="仿宋_GB2312" w:eastAsia="仿宋_GB2312"/>
          <w:color w:val="000000"/>
          <w:sz w:val="32"/>
          <w:szCs w:val="32"/>
        </w:rPr>
        <w:t>万元</w:t>
      </w:r>
      <w:r>
        <w:rPr>
          <w:rFonts w:hint="eastAsia" w:ascii="仿宋_GB2312"/>
          <w:color w:val="000000"/>
          <w:sz w:val="32"/>
          <w:szCs w:val="32"/>
          <w:lang w:eastAsia="zh-CN"/>
        </w:rPr>
        <w:t>。</w:t>
      </w:r>
    </w:p>
    <w:p>
      <w:pPr>
        <w:spacing w:line="600" w:lineRule="exact"/>
        <w:ind w:firstLine="640"/>
        <w:outlineLvl w:val="1"/>
        <w:rPr>
          <w:rFonts w:hint="eastAsia" w:ascii="仿宋_GB2312"/>
          <w:color w:val="000000"/>
          <w:sz w:val="32"/>
          <w:szCs w:val="32"/>
          <w:lang w:eastAsia="zh-CN"/>
        </w:rPr>
      </w:pPr>
      <w:r>
        <w:rPr>
          <w:rFonts w:hint="eastAsia" w:ascii="仿宋" w:hAnsi="仿宋" w:eastAsia="仿宋"/>
          <w:b/>
          <w:color w:val="000000"/>
          <w:sz w:val="32"/>
          <w:szCs w:val="32"/>
        </w:rPr>
        <w:t>外事接待支出</w:t>
      </w:r>
      <w:r>
        <w:rPr>
          <w:rFonts w:hint="eastAsia" w:ascii="仿宋" w:hAnsi="仿宋" w:eastAsia="仿宋"/>
          <w:color w:val="000000"/>
          <w:sz w:val="32"/>
          <w:szCs w:val="32"/>
          <w:lang w:eastAsia="zh-CN"/>
        </w:rPr>
        <w:t>0</w:t>
      </w:r>
      <w:r>
        <w:rPr>
          <w:rFonts w:hint="eastAsia" w:ascii="仿宋_GB2312" w:eastAsia="仿宋_GB2312"/>
          <w:color w:val="000000"/>
          <w:sz w:val="32"/>
          <w:szCs w:val="32"/>
        </w:rPr>
        <w:t>万元，外事接待</w:t>
      </w:r>
      <w:r>
        <w:rPr>
          <w:rFonts w:hint="eastAsia" w:ascii="仿宋_GB2312"/>
          <w:color w:val="000000"/>
          <w:sz w:val="32"/>
          <w:szCs w:val="32"/>
          <w:lang w:eastAsia="zh-CN"/>
        </w:rPr>
        <w:t>0</w:t>
      </w:r>
      <w:r>
        <w:rPr>
          <w:rFonts w:hint="eastAsia" w:ascii="仿宋_GB2312" w:eastAsia="仿宋_GB2312"/>
          <w:color w:val="000000"/>
          <w:sz w:val="32"/>
          <w:szCs w:val="32"/>
        </w:rPr>
        <w:t>批次，</w:t>
      </w:r>
      <w:r>
        <w:rPr>
          <w:rFonts w:hint="eastAsia" w:ascii="仿宋_GB2312"/>
          <w:color w:val="000000"/>
          <w:sz w:val="32"/>
          <w:szCs w:val="32"/>
          <w:lang w:eastAsia="zh-CN"/>
        </w:rPr>
        <w:t>0</w:t>
      </w:r>
      <w:r>
        <w:rPr>
          <w:rFonts w:hint="eastAsia" w:ascii="仿宋_GB2312" w:eastAsia="仿宋_GB2312"/>
          <w:color w:val="000000"/>
          <w:sz w:val="32"/>
          <w:szCs w:val="32"/>
        </w:rPr>
        <w:t>人，共计支出</w:t>
      </w:r>
      <w:r>
        <w:rPr>
          <w:rFonts w:hint="eastAsia" w:ascii="仿宋_GB2312"/>
          <w:color w:val="000000"/>
          <w:sz w:val="32"/>
          <w:szCs w:val="32"/>
          <w:lang w:eastAsia="zh-CN"/>
        </w:rPr>
        <w:t>0</w:t>
      </w:r>
      <w:r>
        <w:rPr>
          <w:rFonts w:hint="eastAsia" w:ascii="仿宋_GB2312" w:eastAsia="仿宋_GB2312"/>
          <w:color w:val="000000"/>
          <w:sz w:val="32"/>
          <w:szCs w:val="32"/>
        </w:rPr>
        <w:t>万元</w:t>
      </w:r>
      <w:bookmarkStart w:id="43" w:name="_Toc15377218"/>
      <w:bookmarkStart w:id="44" w:name="_Toc15396610"/>
      <w:bookmarkStart w:id="45" w:name="_Toc9843"/>
      <w:r>
        <w:rPr>
          <w:rFonts w:hint="eastAsia" w:ascii="仿宋_GB2312"/>
          <w:color w:val="000000"/>
          <w:sz w:val="32"/>
          <w:szCs w:val="32"/>
          <w:lang w:eastAsia="zh-CN"/>
        </w:rPr>
        <w:t>。</w:t>
      </w:r>
    </w:p>
    <w:p>
      <w:pPr>
        <w:spacing w:line="600" w:lineRule="exact"/>
        <w:ind w:firstLine="640"/>
        <w:outlineLvl w:val="1"/>
        <w:rPr>
          <w:rStyle w:val="17"/>
          <w:rFonts w:ascii="黑体" w:hAnsi="黑体" w:eastAsia="黑体"/>
        </w:rPr>
      </w:pPr>
      <w:r>
        <w:rPr>
          <w:rFonts w:hint="eastAsia" w:ascii="黑体" w:eastAsia="黑体"/>
          <w:color w:val="000000"/>
          <w:sz w:val="32"/>
          <w:szCs w:val="32"/>
        </w:rPr>
        <w:t>八、</w:t>
      </w:r>
      <w:r>
        <w:rPr>
          <w:rStyle w:val="17"/>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年政府性基金预算拨款支出</w:t>
      </w:r>
      <w:r>
        <w:rPr>
          <w:rFonts w:hint="eastAsia" w:ascii="仿宋_GB2312"/>
          <w:color w:val="000000"/>
          <w:sz w:val="32"/>
          <w:szCs w:val="32"/>
          <w:lang w:eastAsia="zh-CN"/>
        </w:rPr>
        <w:t>0</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p>
    <w:p>
      <w:pPr>
        <w:numPr>
          <w:ilvl w:val="0"/>
          <w:numId w:val="5"/>
        </w:numPr>
        <w:spacing w:line="600" w:lineRule="exact"/>
        <w:ind w:firstLine="640"/>
        <w:outlineLvl w:val="1"/>
        <w:rPr>
          <w:rStyle w:val="17"/>
          <w:rFonts w:ascii="黑体" w:hAnsi="黑体" w:eastAsia="黑体"/>
          <w:b w:val="0"/>
        </w:rPr>
      </w:pPr>
      <w:bookmarkStart w:id="46" w:name="_Toc15377219"/>
      <w:bookmarkStart w:id="47" w:name="_Toc15396611"/>
      <w:bookmarkStart w:id="48" w:name="_Toc10775"/>
      <w:r>
        <w:rPr>
          <w:rStyle w:val="17"/>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年国有资本经营预算拨款支出</w:t>
      </w:r>
      <w:r>
        <w:rPr>
          <w:rFonts w:hint="eastAsia" w:ascii="仿宋_GB2312"/>
          <w:color w:val="000000"/>
          <w:sz w:val="32"/>
          <w:szCs w:val="32"/>
          <w:lang w:eastAsia="zh-CN"/>
        </w:rPr>
        <w:t>0</w:t>
      </w:r>
      <w:r>
        <w:rPr>
          <w:rFonts w:hint="eastAsia" w:ascii="仿宋_GB2312" w:eastAsia="仿宋_GB2312"/>
          <w:color w:val="000000"/>
          <w:sz w:val="32"/>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7"/>
          <w:rFonts w:ascii="黑体" w:hAnsi="黑体" w:eastAsia="黑体"/>
        </w:rPr>
      </w:pPr>
      <w:bookmarkStart w:id="49" w:name="_Toc15377221"/>
      <w:bookmarkStart w:id="50" w:name="_Toc15396612"/>
      <w:bookmarkStart w:id="51" w:name="_Toc738"/>
      <w:r>
        <w:rPr>
          <w:rFonts w:hint="eastAsia" w:ascii="黑体" w:hAnsi="黑体" w:eastAsia="黑体"/>
          <w:color w:val="000000"/>
          <w:sz w:val="32"/>
          <w:szCs w:val="32"/>
        </w:rPr>
        <w:t>十</w:t>
      </w:r>
      <w:r>
        <w:rPr>
          <w:rStyle w:val="17"/>
          <w:rFonts w:hint="eastAsia" w:ascii="黑体" w:hAnsi="黑体" w:eastAsia="黑体"/>
        </w:rPr>
        <w:t>、</w:t>
      </w:r>
      <w:r>
        <w:rPr>
          <w:rStyle w:val="17"/>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0" w:firstLineChars="200"/>
        <w:rPr>
          <w:rFonts w:hint="eastAsia" w:ascii="仿宋_GB2312" w:eastAsia="仿宋_GB2312"/>
          <w:color w:val="000000"/>
          <w:sz w:val="32"/>
          <w:szCs w:val="32"/>
          <w:lang w:eastAsia="zh-CN"/>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区财政投资评审中心无</w:t>
      </w:r>
      <w:r>
        <w:rPr>
          <w:rFonts w:hint="eastAsia" w:ascii="仿宋_GB2312" w:eastAsia="仿宋_GB2312"/>
          <w:color w:val="000000"/>
          <w:sz w:val="32"/>
          <w:szCs w:val="32"/>
        </w:rPr>
        <w:t>机关运行经费支出</w:t>
      </w:r>
      <w:r>
        <w:rPr>
          <w:rFonts w:hint="eastAsia" w:ascii="仿宋_GB2312"/>
          <w:color w:val="000000"/>
          <w:sz w:val="32"/>
          <w:szCs w:val="32"/>
          <w:lang w:eastAsia="zh-CN"/>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3" w:name="_Toc15377223"/>
      <w:r>
        <w:rPr>
          <w:rFonts w:hint="eastAsia" w:ascii="仿宋" w:hAnsi="仿宋" w:eastAsia="仿宋"/>
          <w:b/>
          <w:color w:val="000000"/>
          <w:sz w:val="32"/>
          <w:szCs w:val="32"/>
        </w:rPr>
        <w:t>（二）政府采购支出情况</w:t>
      </w:r>
      <w:bookmarkEnd w:id="53"/>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自贡市自流井区财政投资评审中心</w:t>
      </w:r>
      <w:r>
        <w:rPr>
          <w:rFonts w:hint="eastAsia" w:ascii="仿宋_GB2312" w:eastAsia="仿宋_GB2312"/>
          <w:color w:val="000000"/>
          <w:sz w:val="32"/>
          <w:szCs w:val="32"/>
        </w:rPr>
        <w:t>政府采购支出总额</w:t>
      </w:r>
      <w:r>
        <w:rPr>
          <w:rFonts w:hint="eastAsia" w:ascii="仿宋_GB2312"/>
          <w:color w:val="000000"/>
          <w:sz w:val="32"/>
          <w:szCs w:val="32"/>
          <w:lang w:eastAsia="zh-CN"/>
        </w:rPr>
        <w:t>0</w:t>
      </w:r>
      <w:r>
        <w:rPr>
          <w:rFonts w:hint="eastAsia" w:ascii="仿宋_GB2312" w:eastAsia="仿宋_GB2312"/>
          <w:color w:val="000000"/>
          <w:sz w:val="32"/>
          <w:szCs w:val="32"/>
        </w:rPr>
        <w:t>万元，其中：政府采购货物支出</w:t>
      </w:r>
      <w:r>
        <w:rPr>
          <w:rFonts w:hint="eastAsia" w:ascii="仿宋_GB2312"/>
          <w:color w:val="000000"/>
          <w:sz w:val="32"/>
          <w:szCs w:val="32"/>
          <w:lang w:eastAsia="zh-CN"/>
        </w:rPr>
        <w:t>0</w:t>
      </w:r>
      <w:r>
        <w:rPr>
          <w:rFonts w:hint="eastAsia" w:ascii="仿宋_GB2312" w:eastAsia="仿宋_GB2312"/>
          <w:color w:val="000000"/>
          <w:sz w:val="32"/>
          <w:szCs w:val="32"/>
        </w:rPr>
        <w:t>万元、政府采购工程支出</w:t>
      </w:r>
      <w:r>
        <w:rPr>
          <w:rFonts w:hint="eastAsia" w:ascii="仿宋_GB2312"/>
          <w:color w:val="000000"/>
          <w:sz w:val="32"/>
          <w:szCs w:val="32"/>
          <w:lang w:eastAsia="zh-CN"/>
        </w:rPr>
        <w:t>0</w:t>
      </w:r>
      <w:r>
        <w:rPr>
          <w:rFonts w:hint="eastAsia" w:ascii="仿宋_GB2312" w:eastAsia="仿宋_GB2312"/>
          <w:color w:val="000000"/>
          <w:sz w:val="32"/>
          <w:szCs w:val="32"/>
        </w:rPr>
        <w:t>万元、政府采购服务支出</w:t>
      </w:r>
      <w:r>
        <w:rPr>
          <w:rFonts w:hint="eastAsia" w:ascii="仿宋_GB2312"/>
          <w:color w:val="000000"/>
          <w:sz w:val="32"/>
          <w:szCs w:val="32"/>
          <w:lang w:eastAsia="zh-CN"/>
        </w:rPr>
        <w:t>0</w:t>
      </w:r>
      <w:r>
        <w:rPr>
          <w:rFonts w:hint="eastAsia" w:ascii="仿宋_GB2312" w:eastAsia="仿宋_GB2312"/>
          <w:color w:val="000000"/>
          <w:sz w:val="32"/>
          <w:szCs w:val="32"/>
        </w:rPr>
        <w:t>万元。。授予中小企业合同金额</w:t>
      </w:r>
      <w:r>
        <w:rPr>
          <w:rFonts w:hint="eastAsia" w:ascii="仿宋_GB2312"/>
          <w:color w:val="000000"/>
          <w:sz w:val="32"/>
          <w:szCs w:val="32"/>
          <w:lang w:eastAsia="zh-CN"/>
        </w:rPr>
        <w:t>0</w:t>
      </w:r>
      <w:r>
        <w:rPr>
          <w:rFonts w:hint="eastAsia" w:ascii="仿宋_GB2312" w:eastAsia="仿宋_GB2312"/>
          <w:color w:val="000000"/>
          <w:sz w:val="32"/>
          <w:szCs w:val="32"/>
        </w:rPr>
        <w:t>万元，占政府采购支出总额的</w:t>
      </w:r>
      <w:r>
        <w:rPr>
          <w:rFonts w:hint="eastAsia" w:ascii="仿宋_GB2312"/>
          <w:color w:val="000000"/>
          <w:sz w:val="32"/>
          <w:szCs w:val="32"/>
          <w:lang w:eastAsia="zh-CN"/>
        </w:rPr>
        <w:t>0</w:t>
      </w:r>
      <w:r>
        <w:rPr>
          <w:rFonts w:ascii="仿宋_GB2312" w:eastAsia="仿宋_GB2312"/>
          <w:color w:val="000000"/>
          <w:sz w:val="32"/>
          <w:szCs w:val="32"/>
        </w:rPr>
        <w:t>%</w:t>
      </w:r>
      <w:r>
        <w:rPr>
          <w:rFonts w:hint="eastAsia" w:ascii="仿宋_GB2312" w:eastAsia="仿宋_GB2312"/>
          <w:color w:val="000000"/>
          <w:sz w:val="32"/>
          <w:szCs w:val="32"/>
        </w:rPr>
        <w:t>，其中：授予小微企业合同金额</w:t>
      </w:r>
      <w:r>
        <w:rPr>
          <w:rFonts w:hint="eastAsia" w:ascii="仿宋_GB2312"/>
          <w:color w:val="000000"/>
          <w:sz w:val="32"/>
          <w:szCs w:val="32"/>
          <w:lang w:eastAsia="zh-CN"/>
        </w:rPr>
        <w:t>0</w:t>
      </w:r>
      <w:r>
        <w:rPr>
          <w:rFonts w:hint="eastAsia" w:ascii="仿宋_GB2312" w:eastAsia="仿宋_GB2312"/>
          <w:color w:val="000000"/>
          <w:sz w:val="32"/>
          <w:szCs w:val="32"/>
        </w:rPr>
        <w:t>万元，占政府采购支出总额的</w:t>
      </w:r>
      <w:r>
        <w:rPr>
          <w:rFonts w:hint="eastAsia" w:ascii="仿宋_GB2312"/>
          <w:color w:val="000000"/>
          <w:sz w:val="32"/>
          <w:szCs w:val="32"/>
          <w:lang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4" w:name="_Toc15377224"/>
      <w:r>
        <w:rPr>
          <w:rFonts w:hint="eastAsia" w:ascii="仿宋" w:hAnsi="仿宋" w:eastAsia="仿宋"/>
          <w:b/>
          <w:color w:val="000000"/>
          <w:sz w:val="32"/>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color w:val="000000"/>
          <w:sz w:val="32"/>
          <w:szCs w:val="32"/>
          <w:lang w:eastAsia="zh-CN"/>
        </w:rPr>
        <w:t>0</w:t>
      </w:r>
      <w:r>
        <w:rPr>
          <w:rFonts w:hint="eastAsia" w:ascii="仿宋_GB2312" w:eastAsia="仿宋_GB2312"/>
          <w:color w:val="000000"/>
          <w:sz w:val="32"/>
          <w:szCs w:val="32"/>
        </w:rPr>
        <w:t>共有车辆</w:t>
      </w:r>
      <w:r>
        <w:rPr>
          <w:rFonts w:hint="eastAsia" w:ascii="仿宋_GB2312"/>
          <w:color w:val="000000"/>
          <w:sz w:val="32"/>
          <w:szCs w:val="32"/>
          <w:lang w:eastAsia="zh-CN"/>
        </w:rPr>
        <w:t>0</w:t>
      </w:r>
      <w:r>
        <w:rPr>
          <w:rFonts w:hint="eastAsia" w:ascii="仿宋_GB2312" w:eastAsia="仿宋_GB2312"/>
          <w:color w:val="000000"/>
          <w:sz w:val="32"/>
          <w:szCs w:val="32"/>
        </w:rPr>
        <w:t>辆，其中：主要领导干部用车</w:t>
      </w:r>
      <w:r>
        <w:rPr>
          <w:rFonts w:hint="eastAsia" w:ascii="仿宋_GB2312"/>
          <w:color w:val="000000"/>
          <w:sz w:val="32"/>
          <w:szCs w:val="32"/>
          <w:lang w:eastAsia="zh-CN"/>
        </w:rPr>
        <w:t>0</w:t>
      </w:r>
      <w:r>
        <w:rPr>
          <w:rFonts w:hint="eastAsia" w:ascii="仿宋_GB2312" w:eastAsia="仿宋_GB2312"/>
          <w:color w:val="000000"/>
          <w:sz w:val="32"/>
          <w:szCs w:val="32"/>
        </w:rPr>
        <w:t>辆、机要通信用车</w:t>
      </w:r>
      <w:r>
        <w:rPr>
          <w:rFonts w:hint="eastAsia" w:ascii="仿宋_GB2312"/>
          <w:color w:val="000000"/>
          <w:sz w:val="32"/>
          <w:szCs w:val="32"/>
          <w:lang w:eastAsia="zh-CN"/>
        </w:rPr>
        <w:t>0</w:t>
      </w:r>
      <w:r>
        <w:rPr>
          <w:rFonts w:hint="eastAsia" w:ascii="仿宋_GB2312" w:eastAsia="仿宋_GB2312"/>
          <w:color w:val="000000"/>
          <w:sz w:val="32"/>
          <w:szCs w:val="32"/>
        </w:rPr>
        <w:t>辆、应急保障用车</w:t>
      </w:r>
      <w:r>
        <w:rPr>
          <w:rFonts w:hint="eastAsia" w:ascii="仿宋_GB2312"/>
          <w:color w:val="000000"/>
          <w:sz w:val="32"/>
          <w:szCs w:val="32"/>
          <w:lang w:eastAsia="zh-CN"/>
        </w:rPr>
        <w:t>0</w:t>
      </w:r>
      <w:r>
        <w:rPr>
          <w:rFonts w:hint="eastAsia" w:ascii="仿宋_GB2312" w:eastAsia="仿宋_GB2312"/>
          <w:color w:val="000000"/>
          <w:sz w:val="32"/>
          <w:szCs w:val="32"/>
        </w:rPr>
        <w:t>辆、其他用车</w:t>
      </w:r>
      <w:r>
        <w:rPr>
          <w:rFonts w:hint="eastAsia" w:ascii="仿宋_GB2312"/>
          <w:color w:val="000000"/>
          <w:sz w:val="32"/>
          <w:szCs w:val="32"/>
          <w:lang w:eastAsia="zh-CN"/>
        </w:rPr>
        <w:t>0</w:t>
      </w:r>
      <w:r>
        <w:rPr>
          <w:rFonts w:hint="eastAsia" w:ascii="仿宋_GB2312" w:eastAsia="仿宋_GB2312"/>
          <w:color w:val="000000"/>
          <w:sz w:val="32"/>
          <w:szCs w:val="32"/>
        </w:rPr>
        <w:t>辆</w:t>
      </w:r>
      <w:r>
        <w:rPr>
          <w:rFonts w:hint="eastAsia" w:ascii="仿宋_GB2312"/>
          <w:color w:val="000000"/>
          <w:sz w:val="32"/>
          <w:szCs w:val="32"/>
          <w:lang w:eastAsia="zh-CN"/>
        </w:rPr>
        <w:t>，</w:t>
      </w:r>
      <w:r>
        <w:rPr>
          <w:rFonts w:hint="eastAsia" w:ascii="仿宋_GB2312" w:eastAsia="仿宋_GB2312"/>
          <w:color w:val="000000"/>
          <w:sz w:val="32"/>
          <w:szCs w:val="32"/>
        </w:rPr>
        <w:t>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color w:val="000000"/>
          <w:sz w:val="32"/>
          <w:szCs w:val="32"/>
          <w:lang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color w:val="000000"/>
          <w:sz w:val="32"/>
          <w:szCs w:val="32"/>
          <w:lang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600" w:lineRule="exact"/>
        <w:ind w:firstLine="640" w:firstLineChars="200"/>
        <w:rPr>
          <w:rFonts w:hint="eastAsia" w:ascii="仿宋_GB2312" w:hAnsi="仿宋_GB2312" w:cs="仿宋_GB2312"/>
          <w:sz w:val="32"/>
          <w:szCs w:val="32"/>
          <w:lang w:eastAsia="zh-CN"/>
        </w:rPr>
      </w:pPr>
      <w:r>
        <w:rPr>
          <w:rFonts w:hint="eastAsia" w:ascii="仿宋_GB2312" w:hAnsi="仿宋_GB2312" w:cs="仿宋_GB2312"/>
          <w:sz w:val="32"/>
          <w:szCs w:val="32"/>
          <w:lang w:eastAsia="zh-CN"/>
        </w:rPr>
        <w:t>自流井区财政投资评审中心</w:t>
      </w:r>
      <w:r>
        <w:rPr>
          <w:rFonts w:hint="eastAsia" w:ascii="仿宋_GB2312" w:hAnsi="仿宋_GB2312" w:cs="仿宋_GB2312"/>
          <w:sz w:val="32"/>
          <w:szCs w:val="32"/>
          <w:lang w:val="en-US" w:eastAsia="zh-CN"/>
        </w:rPr>
        <w:t>2020年度未编制项目。</w:t>
      </w: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年部门整体支出开展绩效自评，</w:t>
      </w:r>
      <w:r>
        <w:rPr>
          <w:rFonts w:hint="eastAsia" w:ascii="仿宋_GB2312" w:hAnsi="仿宋_GB2312" w:cs="仿宋_GB2312"/>
          <w:sz w:val="32"/>
          <w:szCs w:val="32"/>
          <w:lang w:eastAsia="zh-CN"/>
        </w:rPr>
        <w:t>因</w:t>
      </w:r>
      <w:r>
        <w:rPr>
          <w:rFonts w:hint="eastAsia" w:ascii="仿宋_GB2312" w:hAnsi="仿宋_GB2312" w:cs="仿宋_GB2312"/>
          <w:sz w:val="32"/>
          <w:szCs w:val="32"/>
          <w:lang w:val="en-US" w:eastAsia="zh-CN"/>
        </w:rPr>
        <w:t>2020年</w:t>
      </w:r>
      <w:r>
        <w:rPr>
          <w:rFonts w:hint="eastAsia" w:ascii="仿宋" w:hAnsi="仿宋" w:eastAsia="仿宋"/>
          <w:color w:val="000000"/>
          <w:sz w:val="32"/>
          <w:szCs w:val="32"/>
        </w:rPr>
        <w:t>例行节约，严控新增项目，评审费用减少</w:t>
      </w:r>
      <w:r>
        <w:rPr>
          <w:rFonts w:hint="eastAsia" w:ascii="仿宋" w:hAnsi="仿宋" w:eastAsia="仿宋"/>
          <w:color w:val="000000"/>
          <w:sz w:val="32"/>
          <w:szCs w:val="32"/>
          <w:lang w:eastAsia="zh-CN"/>
        </w:rPr>
        <w:t>，</w:t>
      </w:r>
      <w:r>
        <w:rPr>
          <w:rFonts w:hint="eastAsia" w:ascii="仿宋_GB2312" w:hAnsi="仿宋_GB2312" w:cs="仿宋_GB2312"/>
          <w:sz w:val="32"/>
          <w:szCs w:val="32"/>
          <w:lang w:val="en-US" w:eastAsia="zh-CN"/>
        </w:rPr>
        <w:t>2020年</w:t>
      </w:r>
      <w:r>
        <w:rPr>
          <w:rFonts w:hint="eastAsia" w:ascii="仿宋_GB2312" w:hAnsi="仿宋_GB2312" w:cs="仿宋_GB2312"/>
          <w:sz w:val="32"/>
          <w:szCs w:val="32"/>
          <w:lang w:eastAsia="zh-CN"/>
        </w:rPr>
        <w:t>未实行</w:t>
      </w:r>
      <w:r>
        <w:rPr>
          <w:rFonts w:hint="eastAsia" w:ascii="仿宋_GB2312" w:hAnsi="仿宋_GB2312" w:eastAsia="仿宋_GB2312" w:cs="仿宋_GB2312"/>
          <w:sz w:val="32"/>
          <w:szCs w:val="32"/>
        </w:rPr>
        <w:t>项目</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因此未组织开展项目支出绩效评价</w:t>
      </w:r>
      <w:r>
        <w:rPr>
          <w:rFonts w:hint="eastAsia" w:ascii="仿宋_GB2312" w:hAnsi="仿宋_GB2312" w:cs="仿宋_GB2312"/>
          <w:sz w:val="32"/>
          <w:szCs w:val="32"/>
          <w:lang w:eastAsia="zh-CN"/>
        </w:rPr>
        <w:t>。</w:t>
      </w:r>
    </w:p>
    <w:p>
      <w:pPr>
        <w:spacing w:line="58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楷体_GB2312" w:cs="Times New Roman"/>
          <w:color w:val="auto"/>
          <w:sz w:val="32"/>
          <w:szCs w:val="32"/>
        </w:rPr>
        <w:t>部门绩效评价结果。</w:t>
      </w:r>
    </w:p>
    <w:p>
      <w:pPr>
        <w:pStyle w:val="15"/>
        <w:ind w:firstLine="640" w:firstLineChars="200"/>
        <w:rPr>
          <w:rFonts w:hint="eastAsia" w:ascii="仿宋_GB2312" w:hAnsi="仿宋_GB2312" w:eastAsia="仿宋_GB2312" w:cs="仿宋_GB2312"/>
          <w:sz w:val="32"/>
          <w:szCs w:val="32"/>
          <w:lang w:eastAsia="zh-CN"/>
        </w:rPr>
      </w:pPr>
      <w:r>
        <w:rPr>
          <w:rFonts w:hint="default" w:ascii="Times New Roman" w:hAnsi="Times New Roman" w:eastAsia="仿宋_GB2312" w:cs="Times New Roman"/>
          <w:color w:val="auto"/>
          <w:sz w:val="32"/>
          <w:szCs w:val="32"/>
        </w:rPr>
        <w:t>本</w:t>
      </w:r>
      <w:r>
        <w:rPr>
          <w:rFonts w:hint="eastAsia" w:ascii="Times New Roman" w:hAnsi="Times New Roman" w:eastAsia="仿宋_GB2312" w:cs="Times New Roman"/>
          <w:color w:val="auto"/>
          <w:sz w:val="32"/>
          <w:szCs w:val="32"/>
          <w:lang w:eastAsia="zh-CN"/>
        </w:rPr>
        <w:t>单位为二级单位无部门绩效评价。</w:t>
      </w:r>
    </w:p>
    <w:p>
      <w:pPr>
        <w:pStyle w:val="15"/>
        <w:rPr>
          <w:rFonts w:hint="eastAsia" w:ascii="仿宋_GB2312" w:hAnsi="仿宋_GB2312" w:cs="仿宋_GB2312"/>
          <w:sz w:val="32"/>
          <w:szCs w:val="32"/>
          <w:lang w:eastAsia="zh-CN"/>
        </w:rPr>
      </w:pPr>
    </w:p>
    <w:p>
      <w:pPr>
        <w:pStyle w:val="15"/>
        <w:rPr>
          <w:rFonts w:hint="eastAsia" w:ascii="仿宋_GB2312" w:hAnsi="仿宋_GB2312" w:cs="仿宋_GB2312"/>
          <w:sz w:val="32"/>
          <w:szCs w:val="32"/>
          <w:lang w:eastAsia="zh-CN"/>
        </w:rPr>
      </w:pPr>
    </w:p>
    <w:p>
      <w:pPr>
        <w:pStyle w:val="15"/>
        <w:rPr>
          <w:rFonts w:hint="eastAsia" w:ascii="仿宋_GB2312" w:hAnsi="仿宋_GB2312" w:cs="仿宋_GB2312"/>
          <w:sz w:val="32"/>
          <w:szCs w:val="32"/>
          <w:lang w:eastAsia="zh-CN"/>
        </w:rPr>
      </w:pPr>
    </w:p>
    <w:p>
      <w:pPr>
        <w:pStyle w:val="15"/>
        <w:rPr>
          <w:rFonts w:hint="eastAsia" w:ascii="仿宋_GB2312" w:hAnsi="仿宋_GB2312" w:cs="仿宋_GB2312"/>
          <w:sz w:val="32"/>
          <w:szCs w:val="32"/>
          <w:lang w:eastAsia="zh-CN"/>
        </w:rPr>
      </w:pPr>
    </w:p>
    <w:p>
      <w:pPr>
        <w:pStyle w:val="15"/>
        <w:rPr>
          <w:rFonts w:hint="eastAsia" w:ascii="仿宋_GB2312" w:hAnsi="仿宋_GB2312" w:cs="仿宋_GB2312"/>
          <w:sz w:val="32"/>
          <w:szCs w:val="32"/>
          <w:lang w:eastAsia="zh-CN"/>
        </w:rPr>
      </w:pPr>
    </w:p>
    <w:p>
      <w:pPr>
        <w:pStyle w:val="15"/>
        <w:rPr>
          <w:rFonts w:hint="eastAsia" w:ascii="仿宋_GB2312" w:hAnsi="仿宋_GB2312" w:cs="仿宋_GB2312"/>
          <w:sz w:val="32"/>
          <w:szCs w:val="32"/>
          <w:lang w:eastAsia="zh-CN"/>
        </w:rPr>
      </w:pPr>
    </w:p>
    <w:p>
      <w:pPr>
        <w:numPr>
          <w:ilvl w:val="0"/>
          <w:numId w:val="6"/>
        </w:numPr>
        <w:spacing w:line="600" w:lineRule="exact"/>
        <w:ind w:firstLine="660" w:firstLineChars="150"/>
        <w:jc w:val="center"/>
        <w:outlineLvl w:val="0"/>
        <w:rPr>
          <w:rStyle w:val="16"/>
          <w:rFonts w:ascii="黑体" w:hAnsi="黑体" w:eastAsia="黑体"/>
          <w:b w:val="0"/>
        </w:rPr>
      </w:pPr>
      <w:bookmarkStart w:id="55" w:name="_Toc3536"/>
      <w:bookmarkStart w:id="56" w:name="_Toc15377225"/>
      <w:bookmarkStart w:id="57" w:name="_Toc15396613"/>
      <w:r>
        <w:rPr>
          <w:rFonts w:hint="eastAsia" w:ascii="黑体" w:hAnsi="黑体" w:eastAsia="黑体"/>
          <w:color w:val="000000"/>
          <w:sz w:val="44"/>
          <w:szCs w:val="44"/>
        </w:rPr>
        <w:t>名</w:t>
      </w:r>
      <w:r>
        <w:rPr>
          <w:rStyle w:val="16"/>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9"/>
        <w:spacing w:line="560" w:lineRule="exact"/>
        <w:ind w:firstLine="640" w:firstLineChars="200"/>
        <w:rPr>
          <w:rFonts w:hint="default" w:ascii="Times New Roman" w:hAnsi="Times New Roman" w:eastAsia="仿宋_GB2312" w:cs="Times New Roman"/>
          <w:color w:val="auto"/>
          <w:sz w:val="32"/>
          <w:szCs w:val="32"/>
        </w:rPr>
      </w:pPr>
      <w:bookmarkStart w:id="58" w:name="_Toc15377226"/>
      <w:r>
        <w:rPr>
          <w:rFonts w:hint="default" w:ascii="Times New Roman" w:hAnsi="Times New Roman" w:eastAsia="仿宋_GB2312" w:cs="Times New Roman"/>
          <w:color w:val="auto"/>
          <w:sz w:val="32"/>
          <w:szCs w:val="32"/>
        </w:rPr>
        <w:t>1.财政拨款收入：指单位从同级财政部门取得的财政预算资金。</w:t>
      </w:r>
    </w:p>
    <w:p>
      <w:pPr>
        <w:pStyle w:val="19"/>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2.事业收入：指事业单位开展专业业务活动及辅助活动取得的收入。</w:t>
      </w:r>
    </w:p>
    <w:p>
      <w:pPr>
        <w:pStyle w:val="19"/>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3.经营收入：指事业单位在专业业务活动及其辅助活动之外开展非独立核算经营活动取得的收入。</w:t>
      </w:r>
    </w:p>
    <w:p>
      <w:pPr>
        <w:pStyle w:val="19"/>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4.其他收入：指单位取得的除上述收入以外的各项收入。 </w:t>
      </w:r>
    </w:p>
    <w:p>
      <w:pPr>
        <w:pStyle w:val="19"/>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5.使用非财政拨款结余：指事业单位使用以前年度积累的非财政拨款结余弥补当年收支差额的金额。 </w:t>
      </w:r>
    </w:p>
    <w:p>
      <w:pPr>
        <w:pStyle w:val="19"/>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6.年初结转和结余：指以前年度尚未完成、结转到本年按有关规定继续使用的资金。 </w:t>
      </w:r>
    </w:p>
    <w:p>
      <w:pPr>
        <w:pStyle w:val="19"/>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7.结余分配：指事业单位按照会计制度规定缴纳的所得税、提取的专用结余以及转入非财政拨款结余的金额等。</w:t>
      </w:r>
    </w:p>
    <w:p>
      <w:pPr>
        <w:pStyle w:val="19"/>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8、年末结转和结余：指单位按有关规定结转到下年或以后年度继续使用的资金。</w:t>
      </w:r>
    </w:p>
    <w:p>
      <w:pPr>
        <w:ind w:firstLine="640" w:firstLineChars="200"/>
        <w:rPr>
          <w:rFonts w:hint="default" w:ascii="Times New Roman" w:hAnsi="Times New Roman" w:eastAsia="仿宋_GB2312" w:cs="Times New Roman"/>
          <w:color w:val="auto"/>
          <w:sz w:val="32"/>
          <w:szCs w:val="32"/>
        </w:rPr>
      </w:pPr>
      <w:r>
        <w:rPr>
          <w:rFonts w:hint="default" w:ascii="Times New Roman" w:hAnsi="Times New Roman" w:cs="Times New Roman"/>
          <w:color w:val="auto"/>
          <w:sz w:val="32"/>
          <w:szCs w:val="32"/>
          <w:lang w:val="en-US" w:eastAsia="zh-CN"/>
        </w:rPr>
        <w:t>9</w:t>
      </w:r>
      <w:r>
        <w:rPr>
          <w:rFonts w:hint="default" w:ascii="Times New Roman" w:hAnsi="Times New Roman" w:eastAsia="仿宋_GB2312" w:cs="Times New Roman"/>
          <w:color w:val="auto"/>
          <w:sz w:val="32"/>
          <w:szCs w:val="32"/>
        </w:rPr>
        <w:t>.社会保障和就业（类）行政事业单位</w:t>
      </w:r>
      <w:r>
        <w:rPr>
          <w:rFonts w:hint="default" w:ascii="Times New Roman" w:hAnsi="Times New Roman" w:cs="Times New Roman"/>
          <w:color w:val="auto"/>
          <w:sz w:val="32"/>
          <w:szCs w:val="32"/>
          <w:lang w:eastAsia="zh-CN"/>
        </w:rPr>
        <w:t>养老支出</w:t>
      </w:r>
      <w:r>
        <w:rPr>
          <w:rFonts w:hint="default" w:ascii="Times New Roman" w:hAnsi="Times New Roman" w:eastAsia="仿宋_GB2312" w:cs="Times New Roman"/>
          <w:color w:val="auto"/>
          <w:sz w:val="32"/>
          <w:szCs w:val="32"/>
        </w:rPr>
        <w:t>（款）行政单位离退休（项）：指反映行政单位（包括被告公务员管理的事业单位）开支的离退休经费。</w:t>
      </w:r>
    </w:p>
    <w:p>
      <w:p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cs="Times New Roman"/>
          <w:color w:val="auto"/>
          <w:sz w:val="32"/>
          <w:szCs w:val="32"/>
          <w:lang w:val="en-US" w:eastAsia="zh-CN"/>
        </w:rPr>
        <w:t>0</w:t>
      </w:r>
      <w:r>
        <w:rPr>
          <w:rFonts w:hint="default" w:ascii="Times New Roman" w:hAnsi="Times New Roman" w:eastAsia="仿宋_GB2312" w:cs="Times New Roman"/>
          <w:color w:val="auto"/>
          <w:sz w:val="32"/>
          <w:szCs w:val="32"/>
        </w:rPr>
        <w:t>.社会保障和就业（类）行政事业单位</w:t>
      </w:r>
      <w:r>
        <w:rPr>
          <w:rFonts w:hint="default" w:ascii="Times New Roman" w:hAnsi="Times New Roman" w:cs="Times New Roman"/>
          <w:color w:val="auto"/>
          <w:sz w:val="32"/>
          <w:szCs w:val="32"/>
          <w:lang w:eastAsia="zh-CN"/>
        </w:rPr>
        <w:t>养老支出</w:t>
      </w:r>
      <w:r>
        <w:rPr>
          <w:rFonts w:hint="default" w:ascii="Times New Roman" w:hAnsi="Times New Roman" w:eastAsia="仿宋_GB2312" w:cs="Times New Roman"/>
          <w:color w:val="auto"/>
          <w:sz w:val="32"/>
          <w:szCs w:val="32"/>
        </w:rPr>
        <w:t>（款）机关事业单位基本养老保险缴费支出（项）：反映机关事业单位实话养老保险制度由单位缴纳的基本养老保险支出。</w:t>
      </w:r>
    </w:p>
    <w:p>
      <w:pPr>
        <w:ind w:firstLine="640" w:firstLineChars="200"/>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lang w:val="en-US" w:eastAsia="zh-CN"/>
        </w:rPr>
        <w:t>11.</w:t>
      </w:r>
      <w:r>
        <w:rPr>
          <w:rFonts w:hint="default" w:ascii="Times New Roman" w:hAnsi="Times New Roman" w:eastAsia="仿宋_GB2312" w:cs="Times New Roman"/>
          <w:color w:val="auto"/>
          <w:sz w:val="32"/>
          <w:szCs w:val="32"/>
        </w:rPr>
        <w:t>社会保障和就业（类）行政事业单位离退休（款）</w:t>
      </w:r>
      <w:r>
        <w:rPr>
          <w:rFonts w:hint="default" w:ascii="Times New Roman" w:hAnsi="Times New Roman" w:cs="Times New Roman"/>
          <w:color w:val="auto"/>
          <w:sz w:val="32"/>
          <w:szCs w:val="32"/>
          <w:lang w:eastAsia="zh-CN"/>
        </w:rPr>
        <w:t>机关事业单位职业年金缴费支出（</w:t>
      </w:r>
      <w:r>
        <w:rPr>
          <w:rFonts w:hint="default" w:ascii="Times New Roman" w:hAnsi="Times New Roman" w:eastAsia="仿宋_GB2312" w:cs="Times New Roman"/>
          <w:color w:val="auto"/>
          <w:sz w:val="32"/>
          <w:szCs w:val="32"/>
        </w:rPr>
        <w:t>项）：</w:t>
      </w:r>
      <w:r>
        <w:rPr>
          <w:rFonts w:hint="default" w:ascii="Times New Roman" w:hAnsi="Times New Roman" w:cs="Times New Roman"/>
          <w:color w:val="auto"/>
          <w:sz w:val="32"/>
          <w:szCs w:val="32"/>
          <w:lang w:eastAsia="zh-CN"/>
        </w:rPr>
        <w:t>反映机关事业单位实施养老保险制度由单位实际缴纳的职业年金支出。</w:t>
      </w:r>
    </w:p>
    <w:p>
      <w:pPr>
        <w:ind w:firstLine="640" w:firstLineChars="200"/>
        <w:rPr>
          <w:rFonts w:hint="default"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lang w:val="en-US" w:eastAsia="zh-CN"/>
        </w:rPr>
        <w:t>12.</w:t>
      </w:r>
      <w:r>
        <w:rPr>
          <w:rFonts w:hint="default" w:ascii="Times New Roman" w:hAnsi="Times New Roman" w:eastAsia="仿宋_GB2312" w:cs="Times New Roman"/>
          <w:color w:val="auto"/>
          <w:sz w:val="32"/>
          <w:szCs w:val="32"/>
        </w:rPr>
        <w:t>社会保障和就业（类）</w:t>
      </w:r>
      <w:r>
        <w:rPr>
          <w:rFonts w:hint="default" w:ascii="Times New Roman" w:hAnsi="Times New Roman" w:cs="Times New Roman"/>
          <w:color w:val="auto"/>
          <w:sz w:val="32"/>
          <w:szCs w:val="32"/>
          <w:lang w:eastAsia="zh-CN"/>
        </w:rPr>
        <w:t>其他社会保障和就业支出</w:t>
      </w:r>
      <w:r>
        <w:rPr>
          <w:rFonts w:hint="default" w:ascii="Times New Roman" w:hAnsi="Times New Roman" w:eastAsia="仿宋_GB2312" w:cs="Times New Roman"/>
          <w:color w:val="auto"/>
          <w:sz w:val="32"/>
          <w:szCs w:val="32"/>
        </w:rPr>
        <w:t>（款）</w:t>
      </w:r>
      <w:r>
        <w:rPr>
          <w:rFonts w:hint="default" w:ascii="Times New Roman" w:hAnsi="Times New Roman" w:cs="Times New Roman"/>
          <w:color w:val="auto"/>
          <w:sz w:val="32"/>
          <w:szCs w:val="32"/>
          <w:lang w:eastAsia="zh-CN"/>
        </w:rPr>
        <w:t>其他社会保障和就业支出（</w:t>
      </w:r>
      <w:r>
        <w:rPr>
          <w:rFonts w:hint="default" w:ascii="Times New Roman" w:hAnsi="Times New Roman" w:eastAsia="仿宋_GB2312" w:cs="Times New Roman"/>
          <w:color w:val="auto"/>
          <w:sz w:val="32"/>
          <w:szCs w:val="32"/>
        </w:rPr>
        <w:t>项）：</w:t>
      </w:r>
      <w:r>
        <w:rPr>
          <w:rFonts w:hint="default" w:ascii="Times New Roman" w:hAnsi="Times New Roman" w:cs="Times New Roman"/>
          <w:color w:val="auto"/>
          <w:sz w:val="32"/>
          <w:szCs w:val="32"/>
          <w:lang w:eastAsia="zh-CN"/>
        </w:rPr>
        <w:t>反映除上述项目以外其他用于社会保障和就业方面的支出。</w:t>
      </w:r>
    </w:p>
    <w:p>
      <w:pPr>
        <w:numPr>
          <w:ilvl w:val="0"/>
          <w:numId w:val="0"/>
        </w:numPr>
        <w:ind w:firstLine="640" w:firstLineChars="200"/>
        <w:rPr>
          <w:rFonts w:hint="default" w:ascii="Times New Roman" w:hAnsi="Times New Roman" w:eastAsia="仿宋_GB2312" w:cs="Times New Roman"/>
          <w:color w:val="auto"/>
          <w:sz w:val="32"/>
          <w:szCs w:val="32"/>
        </w:rPr>
      </w:pPr>
      <w:r>
        <w:rPr>
          <w:rFonts w:hint="default" w:ascii="Times New Roman" w:hAnsi="Times New Roman" w:cs="Times New Roman"/>
          <w:color w:val="auto"/>
          <w:sz w:val="32"/>
          <w:szCs w:val="32"/>
          <w:lang w:val="en-US" w:eastAsia="zh-CN"/>
        </w:rPr>
        <w:t>13.</w:t>
      </w:r>
      <w:r>
        <w:rPr>
          <w:rFonts w:hint="default" w:ascii="Times New Roman" w:hAnsi="Times New Roman" w:eastAsia="仿宋_GB2312" w:cs="Times New Roman"/>
          <w:color w:val="auto"/>
          <w:sz w:val="32"/>
          <w:szCs w:val="32"/>
        </w:rPr>
        <w:t>卫生健康支出（类）行政事业单位医疗（款）行政单位医疗（项）：是指反映财政部门安排的行政单位（包括被告公务员管理的事业单位，下同）基本医疗保险缴费经费，未参加医疗保险的行政单位的公费医疗经费，按国家规定享受离休人员、红军老战士待遇人员的医疗经费。</w:t>
      </w:r>
    </w:p>
    <w:p>
      <w:pPr>
        <w:ind w:firstLine="640" w:firstLineChars="200"/>
        <w:rPr>
          <w:rFonts w:hint="default" w:ascii="Times New Roman" w:hAnsi="Times New Roman" w:eastAsia="仿宋_GB2312" w:cs="Times New Roman"/>
          <w:color w:val="auto"/>
          <w:sz w:val="32"/>
          <w:szCs w:val="32"/>
        </w:rPr>
      </w:pPr>
      <w:r>
        <w:rPr>
          <w:rFonts w:hint="default" w:ascii="Times New Roman" w:hAnsi="Times New Roman" w:cs="Times New Roman"/>
          <w:color w:val="auto"/>
          <w:sz w:val="32"/>
          <w:szCs w:val="32"/>
          <w:lang w:val="en-US" w:eastAsia="zh-CN"/>
        </w:rPr>
        <w:t>14.城乡社区支出（类）城乡社区公共设施（款）其他城乡社区公共设施支出（项）：反映除上述项目以外其他用于城乡社区公共设施方面的支出。</w:t>
      </w:r>
    </w:p>
    <w:p>
      <w:pPr>
        <w:ind w:firstLine="640" w:firstLineChars="200"/>
        <w:rPr>
          <w:rFonts w:hint="default" w:ascii="Times New Roman" w:hAnsi="Times New Roman" w:eastAsia="仿宋_GB2312" w:cs="Times New Roman"/>
          <w:color w:val="0000FF"/>
          <w:sz w:val="32"/>
          <w:szCs w:val="32"/>
        </w:rPr>
      </w:pPr>
      <w:r>
        <w:rPr>
          <w:rFonts w:hint="default" w:ascii="Times New Roman" w:hAnsi="Times New Roman" w:cs="Times New Roman"/>
          <w:color w:val="auto"/>
          <w:sz w:val="32"/>
          <w:szCs w:val="32"/>
          <w:lang w:val="en-US" w:eastAsia="zh-CN"/>
        </w:rPr>
        <w:t xml:space="preserve">15. </w:t>
      </w:r>
      <w:r>
        <w:rPr>
          <w:rFonts w:hint="eastAsia" w:ascii="Times New Roman" w:hAnsi="Times New Roman" w:cs="Times New Roman"/>
          <w:color w:val="auto"/>
          <w:sz w:val="32"/>
          <w:szCs w:val="32"/>
          <w:lang w:val="en-US" w:eastAsia="zh-CN"/>
        </w:rPr>
        <w:t>一般公共服务（类）财政事务（款）事业运行（项）</w:t>
      </w:r>
      <w:r>
        <w:rPr>
          <w:rFonts w:hint="default" w:ascii="Times New Roman" w:hAnsi="Times New Roman" w:cs="Times New Roman"/>
          <w:color w:val="auto"/>
          <w:sz w:val="32"/>
          <w:szCs w:val="32"/>
          <w:lang w:val="en-US" w:eastAsia="zh-CN"/>
        </w:rPr>
        <w:t>：反映</w:t>
      </w:r>
      <w:r>
        <w:rPr>
          <w:rFonts w:hint="eastAsia" w:ascii="Times New Roman" w:hAnsi="Times New Roman" w:cs="Times New Roman"/>
          <w:color w:val="auto"/>
          <w:sz w:val="32"/>
          <w:szCs w:val="32"/>
          <w:lang w:val="en-US" w:eastAsia="zh-CN"/>
        </w:rPr>
        <w:t>事业</w:t>
      </w:r>
      <w:r>
        <w:rPr>
          <w:rFonts w:hint="default" w:ascii="Times New Roman" w:hAnsi="Times New Roman" w:cs="Times New Roman"/>
          <w:color w:val="auto"/>
          <w:sz w:val="32"/>
          <w:szCs w:val="32"/>
          <w:lang w:val="en-US" w:eastAsia="zh-CN"/>
        </w:rPr>
        <w:t>单位未单独设置项级科目的其他项目支出</w:t>
      </w:r>
      <w:r>
        <w:rPr>
          <w:rFonts w:hint="default" w:ascii="Times New Roman" w:hAnsi="Times New Roman" w:eastAsia="仿宋_GB2312" w:cs="Times New Roman"/>
          <w:color w:val="0000FF"/>
          <w:sz w:val="32"/>
          <w:szCs w:val="32"/>
        </w:rPr>
        <w:t>。</w:t>
      </w:r>
    </w:p>
    <w:p>
      <w:pPr>
        <w:spacing w:line="600" w:lineRule="exact"/>
        <w:ind w:firstLine="640"/>
        <w:rPr>
          <w:rFonts w:hint="default" w:ascii="Times New Roman" w:hAnsi="Times New Roman" w:eastAsia="仿宋" w:cs="Times New Roman"/>
          <w:b/>
          <w:color w:val="auto"/>
          <w:sz w:val="32"/>
          <w:szCs w:val="32"/>
        </w:rPr>
      </w:pPr>
      <w:r>
        <w:rPr>
          <w:rFonts w:hint="eastAsia" w:cs="Times New Roman"/>
          <w:color w:val="auto"/>
          <w:sz w:val="32"/>
          <w:szCs w:val="32"/>
          <w:lang w:val="en-US" w:eastAsia="zh-CN"/>
        </w:rPr>
        <w:t>16</w:t>
      </w:r>
      <w:r>
        <w:rPr>
          <w:rFonts w:hint="default" w:ascii="Times New Roman" w:hAnsi="Times New Roman" w:eastAsia="仿宋_GB2312" w:cs="Times New Roman"/>
          <w:color w:val="auto"/>
          <w:sz w:val="32"/>
          <w:szCs w:val="32"/>
        </w:rPr>
        <w:t>.住房保障支出（类）住房改革支出（款）住房公积金（项）;指反映行政事业单位按人力资源和社会保障部、财政部规定的基本工资和津贴补贴以及规定比例为职工缴纳的住房公积金。</w:t>
      </w:r>
    </w:p>
    <w:p>
      <w:pPr>
        <w:ind w:firstLine="640" w:firstLineChars="200"/>
        <w:rPr>
          <w:rFonts w:hint="default" w:ascii="Times New Roman" w:hAnsi="Times New Roman" w:eastAsia="仿宋_GB2312" w:cs="Times New Roman"/>
          <w:color w:val="auto"/>
          <w:sz w:val="32"/>
          <w:szCs w:val="32"/>
        </w:rPr>
      </w:pPr>
      <w:r>
        <w:rPr>
          <w:rFonts w:hint="eastAsia" w:cs="Times New Roman"/>
          <w:color w:val="auto"/>
          <w:sz w:val="32"/>
          <w:szCs w:val="32"/>
          <w:lang w:val="en-US" w:eastAsia="zh-CN"/>
        </w:rPr>
        <w:t>17</w:t>
      </w:r>
      <w:r>
        <w:rPr>
          <w:rFonts w:hint="default" w:ascii="Times New Roman" w:hAnsi="Times New Roman" w:eastAsia="仿宋_GB2312" w:cs="Times New Roman"/>
          <w:color w:val="auto"/>
          <w:sz w:val="32"/>
          <w:szCs w:val="32"/>
        </w:rPr>
        <w:t>.基本支出：指为保障机构正常运转、完成日常工作任务而发生的人员支出和公用支出。</w:t>
      </w:r>
    </w:p>
    <w:p>
      <w:pPr>
        <w:ind w:firstLine="640" w:firstLineChars="200"/>
        <w:rPr>
          <w:rFonts w:hint="default" w:ascii="Times New Roman" w:hAnsi="Times New Roman" w:eastAsia="仿宋_GB2312" w:cs="Times New Roman"/>
          <w:color w:val="auto"/>
          <w:sz w:val="32"/>
          <w:szCs w:val="32"/>
        </w:rPr>
      </w:pPr>
      <w:r>
        <w:rPr>
          <w:rFonts w:hint="eastAsia" w:cs="Times New Roman"/>
          <w:color w:val="auto"/>
          <w:sz w:val="32"/>
          <w:szCs w:val="32"/>
          <w:lang w:val="en-US" w:eastAsia="zh-CN"/>
        </w:rPr>
        <w:t>18</w:t>
      </w:r>
      <w:r>
        <w:rPr>
          <w:rFonts w:hint="default" w:ascii="Times New Roman" w:hAnsi="Times New Roman" w:eastAsia="仿宋_GB2312" w:cs="Times New Roman"/>
          <w:color w:val="auto"/>
          <w:sz w:val="32"/>
          <w:szCs w:val="32"/>
        </w:rPr>
        <w:t xml:space="preserve">.项目支出：指在基本支出之外为完成特定行政任务和事业发展目标所发生的支出。 </w:t>
      </w:r>
    </w:p>
    <w:p>
      <w:pPr>
        <w:ind w:firstLine="640" w:firstLineChars="200"/>
        <w:rPr>
          <w:rFonts w:hint="default" w:ascii="Times New Roman" w:hAnsi="Times New Roman" w:eastAsia="仿宋_GB2312" w:cs="Times New Roman"/>
          <w:color w:val="auto"/>
          <w:sz w:val="32"/>
          <w:szCs w:val="32"/>
        </w:rPr>
      </w:pPr>
      <w:r>
        <w:rPr>
          <w:rFonts w:hint="eastAsia" w:cs="Times New Roman"/>
          <w:color w:val="auto"/>
          <w:sz w:val="32"/>
          <w:szCs w:val="32"/>
          <w:lang w:val="en-US" w:eastAsia="zh-CN"/>
        </w:rPr>
        <w:t>19</w:t>
      </w:r>
      <w:r>
        <w:rPr>
          <w:rFonts w:hint="default" w:ascii="Times New Roman" w:hAnsi="Times New Roman" w:eastAsia="仿宋_GB2312" w:cs="Times New Roman"/>
          <w:color w:val="auto"/>
          <w:sz w:val="32"/>
          <w:szCs w:val="32"/>
        </w:rPr>
        <w:t>.经营支出：指事业单位在专业业务活动及其辅助活动之外开展非独立核算经营活动发生的支出。</w:t>
      </w:r>
    </w:p>
    <w:p>
      <w:pPr>
        <w:pStyle w:val="19"/>
        <w:spacing w:line="560" w:lineRule="exact"/>
        <w:ind w:firstLine="640" w:firstLineChars="200"/>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9"/>
        <w:spacing w:line="560" w:lineRule="exact"/>
        <w:ind w:firstLine="640" w:firstLineChars="200"/>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21</w:t>
      </w:r>
      <w:r>
        <w:rPr>
          <w:rFonts w:hint="default" w:ascii="Times New Roman" w:hAnsi="Times New Roman" w:eastAsia="仿宋_GB2312" w:cs="Times New Roman"/>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80" w:lineRule="exact"/>
        <w:rPr>
          <w:rFonts w:ascii="Times New Roman" w:hAnsi="Times New Roman" w:eastAsia="仿宋_GB2312" w:cs="Times New Roman"/>
          <w:kern w:val="2"/>
          <w:sz w:val="32"/>
          <w:szCs w:val="24"/>
          <w:lang w:val="en-US" w:eastAsia="zh-CN" w:bidi="ar-SA"/>
        </w:rPr>
      </w:pPr>
    </w:p>
    <w:p>
      <w:pPr>
        <w:widowControl/>
        <w:jc w:val="left"/>
        <w:rPr>
          <w:rStyle w:val="16"/>
          <w:rFonts w:ascii="黑体" w:hAnsi="黑体" w:eastAsia="黑体"/>
          <w:b w:val="0"/>
        </w:rPr>
      </w:pPr>
    </w:p>
    <w:p>
      <w:pPr>
        <w:widowControl/>
        <w:jc w:val="left"/>
        <w:rPr>
          <w:rStyle w:val="16"/>
          <w:rFonts w:ascii="黑体" w:hAnsi="黑体" w:eastAsia="黑体"/>
          <w:b w:val="0"/>
        </w:rPr>
      </w:pPr>
      <w:r>
        <w:rPr>
          <w:rStyle w:val="16"/>
          <w:rFonts w:ascii="黑体" w:hAnsi="黑体" w:eastAsia="黑体"/>
          <w:b w:val="0"/>
        </w:rPr>
        <w:br w:type="page"/>
      </w:r>
    </w:p>
    <w:p>
      <w:pPr>
        <w:spacing w:line="600" w:lineRule="exact"/>
        <w:jc w:val="center"/>
        <w:outlineLvl w:val="0"/>
        <w:rPr>
          <w:rStyle w:val="16"/>
          <w:rFonts w:ascii="黑体" w:hAnsi="黑体" w:eastAsia="黑体"/>
          <w:b w:val="0"/>
        </w:rPr>
      </w:pPr>
      <w:bookmarkStart w:id="59" w:name="_Toc15396618"/>
      <w:bookmarkStart w:id="60" w:name="_Toc32283"/>
      <w:r>
        <w:rPr>
          <w:rFonts w:hint="eastAsia" w:ascii="黑体" w:hAnsi="黑体" w:eastAsia="黑体"/>
          <w:color w:val="000000"/>
          <w:sz w:val="44"/>
          <w:szCs w:val="44"/>
        </w:rPr>
        <w:t>第</w:t>
      </w:r>
      <w:r>
        <w:rPr>
          <w:rStyle w:val="16"/>
          <w:rFonts w:hint="eastAsia" w:ascii="黑体" w:hAnsi="黑体" w:eastAsia="黑体"/>
          <w:b w:val="0"/>
          <w:lang w:eastAsia="zh-CN"/>
        </w:rPr>
        <w:t>四</w:t>
      </w:r>
      <w:r>
        <w:rPr>
          <w:rStyle w:val="16"/>
          <w:rFonts w:hint="eastAsia" w:ascii="黑体" w:hAnsi="黑体" w:eastAsia="黑体"/>
          <w:b w:val="0"/>
        </w:rPr>
        <w:t>部分</w:t>
      </w:r>
      <w:r>
        <w:rPr>
          <w:rStyle w:val="16"/>
          <w:rFonts w:ascii="黑体" w:hAnsi="黑体" w:eastAsia="黑体"/>
          <w:b w:val="0"/>
        </w:rPr>
        <w:t xml:space="preserve"> </w:t>
      </w:r>
      <w:r>
        <w:rPr>
          <w:rStyle w:val="16"/>
          <w:rFonts w:hint="eastAsia" w:ascii="黑体" w:hAnsi="黑体" w:eastAsia="黑体"/>
          <w:b w:val="0"/>
        </w:rPr>
        <w:t>附表</w:t>
      </w:r>
      <w:bookmarkEnd w:id="58"/>
      <w:bookmarkEnd w:id="59"/>
      <w:bookmarkEnd w:id="60"/>
    </w:p>
    <w:p>
      <w:pPr>
        <w:spacing w:line="600" w:lineRule="exact"/>
        <w:jc w:val="center"/>
        <w:outlineLvl w:val="0"/>
        <w:rPr>
          <w:rFonts w:ascii="仿宋" w:hAnsi="仿宋" w:eastAsia="仿宋"/>
          <w:b/>
          <w:color w:val="000000"/>
          <w:sz w:val="44"/>
          <w:szCs w:val="44"/>
        </w:rPr>
      </w:pPr>
    </w:p>
    <w:p>
      <w:pPr>
        <w:pStyle w:val="4"/>
        <w:rPr>
          <w:rFonts w:ascii="仿宋" w:hAnsi="仿宋" w:eastAsia="仿宋"/>
          <w:color w:val="000000"/>
        </w:rPr>
      </w:pPr>
      <w:bookmarkStart w:id="61" w:name="_Toc15396619"/>
      <w:bookmarkStart w:id="62" w:name="_Toc15699"/>
      <w:r>
        <w:rPr>
          <w:rFonts w:hint="eastAsia" w:ascii="仿宋" w:hAnsi="仿宋" w:eastAsia="仿宋"/>
          <w:b w:val="0"/>
          <w:color w:val="000000"/>
        </w:rPr>
        <w:t>一、收</w:t>
      </w:r>
      <w:r>
        <w:rPr>
          <w:rStyle w:val="17"/>
          <w:rFonts w:hint="eastAsia" w:ascii="仿宋" w:hAnsi="仿宋" w:eastAsia="仿宋"/>
          <w:b w:val="0"/>
          <w:bCs w:val="0"/>
        </w:rPr>
        <w:t>入支出决算总表</w:t>
      </w:r>
      <w:bookmarkEnd w:id="61"/>
      <w:bookmarkEnd w:id="62"/>
    </w:p>
    <w:p>
      <w:pPr>
        <w:pStyle w:val="4"/>
        <w:rPr>
          <w:rFonts w:ascii="仿宋" w:hAnsi="仿宋" w:eastAsia="仿宋"/>
          <w:color w:val="000000"/>
        </w:rPr>
      </w:pPr>
      <w:bookmarkStart w:id="63" w:name="_Toc15396620"/>
      <w:bookmarkStart w:id="64" w:name="_Toc27106"/>
      <w:r>
        <w:rPr>
          <w:rFonts w:hint="eastAsia" w:ascii="仿宋" w:hAnsi="仿宋" w:eastAsia="仿宋"/>
          <w:b w:val="0"/>
          <w:color w:val="000000"/>
        </w:rPr>
        <w:t>二、收</w:t>
      </w:r>
      <w:r>
        <w:rPr>
          <w:rStyle w:val="17"/>
          <w:rFonts w:hint="eastAsia" w:ascii="仿宋" w:hAnsi="仿宋" w:eastAsia="仿宋"/>
          <w:b w:val="0"/>
          <w:bCs w:val="0"/>
        </w:rPr>
        <w:t>入决算表</w:t>
      </w:r>
      <w:bookmarkEnd w:id="63"/>
      <w:bookmarkEnd w:id="64"/>
    </w:p>
    <w:p>
      <w:pPr>
        <w:pStyle w:val="4"/>
        <w:rPr>
          <w:rFonts w:ascii="仿宋" w:hAnsi="仿宋" w:eastAsia="仿宋"/>
          <w:color w:val="000000"/>
        </w:rPr>
      </w:pPr>
      <w:bookmarkStart w:id="65" w:name="_Toc15396621"/>
      <w:bookmarkStart w:id="66" w:name="_Toc26817"/>
      <w:r>
        <w:rPr>
          <w:rStyle w:val="17"/>
          <w:rFonts w:hint="eastAsia" w:ascii="仿宋" w:hAnsi="仿宋" w:eastAsia="仿宋"/>
          <w:b w:val="0"/>
          <w:bCs w:val="0"/>
        </w:rPr>
        <w:t>三、</w:t>
      </w:r>
      <w:r>
        <w:rPr>
          <w:rFonts w:hint="eastAsia" w:ascii="仿宋" w:hAnsi="仿宋" w:eastAsia="仿宋"/>
          <w:b w:val="0"/>
          <w:color w:val="000000"/>
        </w:rPr>
        <w:t>支</w:t>
      </w:r>
      <w:r>
        <w:rPr>
          <w:rStyle w:val="17"/>
          <w:rFonts w:hint="eastAsia" w:ascii="仿宋" w:hAnsi="仿宋" w:eastAsia="仿宋"/>
          <w:b w:val="0"/>
          <w:bCs w:val="0"/>
        </w:rPr>
        <w:t>出决算表</w:t>
      </w:r>
      <w:bookmarkEnd w:id="65"/>
      <w:bookmarkEnd w:id="66"/>
    </w:p>
    <w:p>
      <w:pPr>
        <w:pStyle w:val="4"/>
        <w:rPr>
          <w:rFonts w:ascii="仿宋" w:hAnsi="仿宋" w:eastAsia="仿宋"/>
          <w:b w:val="0"/>
          <w:color w:val="000000"/>
        </w:rPr>
      </w:pPr>
      <w:bookmarkStart w:id="67" w:name="_Toc15396622"/>
      <w:bookmarkStart w:id="68" w:name="_Toc21747"/>
      <w:r>
        <w:rPr>
          <w:rStyle w:val="17"/>
          <w:rFonts w:hint="eastAsia" w:ascii="仿宋" w:hAnsi="仿宋" w:eastAsia="仿宋"/>
          <w:b w:val="0"/>
          <w:bCs w:val="0"/>
        </w:rPr>
        <w:t>四、</w:t>
      </w:r>
      <w:r>
        <w:rPr>
          <w:rFonts w:hint="eastAsia" w:ascii="仿宋" w:hAnsi="仿宋" w:eastAsia="仿宋"/>
          <w:b w:val="0"/>
          <w:color w:val="000000"/>
        </w:rPr>
        <w:t>财</w:t>
      </w:r>
      <w:r>
        <w:rPr>
          <w:rStyle w:val="17"/>
          <w:rFonts w:hint="eastAsia" w:ascii="仿宋" w:hAnsi="仿宋" w:eastAsia="仿宋"/>
          <w:b w:val="0"/>
          <w:bCs w:val="0"/>
        </w:rPr>
        <w:t>政拨款收入支出决算总表</w:t>
      </w:r>
      <w:bookmarkEnd w:id="67"/>
      <w:bookmarkEnd w:id="68"/>
    </w:p>
    <w:p>
      <w:pPr>
        <w:pStyle w:val="4"/>
        <w:rPr>
          <w:rStyle w:val="17"/>
          <w:rFonts w:ascii="仿宋" w:hAnsi="仿宋" w:eastAsia="仿宋"/>
          <w:b w:val="0"/>
          <w:bCs w:val="0"/>
        </w:rPr>
      </w:pPr>
      <w:bookmarkStart w:id="69" w:name="_Toc15396623"/>
      <w:bookmarkStart w:id="70" w:name="_Toc12959"/>
      <w:r>
        <w:rPr>
          <w:rStyle w:val="17"/>
          <w:rFonts w:hint="eastAsia" w:ascii="仿宋" w:hAnsi="仿宋" w:eastAsia="仿宋"/>
          <w:b w:val="0"/>
          <w:bCs w:val="0"/>
        </w:rPr>
        <w:t>五、</w:t>
      </w:r>
      <w:r>
        <w:rPr>
          <w:rFonts w:hint="eastAsia" w:ascii="仿宋" w:hAnsi="仿宋" w:eastAsia="仿宋"/>
          <w:b w:val="0"/>
          <w:color w:val="000000"/>
        </w:rPr>
        <w:t>财</w:t>
      </w:r>
      <w:r>
        <w:rPr>
          <w:rStyle w:val="17"/>
          <w:rFonts w:hint="eastAsia" w:ascii="仿宋" w:hAnsi="仿宋" w:eastAsia="仿宋"/>
          <w:b w:val="0"/>
          <w:bCs w:val="0"/>
        </w:rPr>
        <w:t>政拨款支出决算明细表</w:t>
      </w:r>
      <w:bookmarkEnd w:id="69"/>
      <w:bookmarkEnd w:id="70"/>
      <w:bookmarkStart w:id="71" w:name="_Toc15396624"/>
    </w:p>
    <w:p>
      <w:pPr>
        <w:pStyle w:val="4"/>
        <w:rPr>
          <w:rFonts w:ascii="仿宋" w:hAnsi="仿宋" w:eastAsia="仿宋"/>
          <w:color w:val="000000"/>
        </w:rPr>
      </w:pPr>
      <w:bookmarkStart w:id="72" w:name="_Toc23749"/>
      <w:r>
        <w:rPr>
          <w:rStyle w:val="17"/>
          <w:rFonts w:hint="eastAsia" w:ascii="仿宋" w:hAnsi="仿宋" w:eastAsia="仿宋"/>
          <w:b w:val="0"/>
          <w:bCs w:val="0"/>
        </w:rPr>
        <w:t>六、</w:t>
      </w:r>
      <w:r>
        <w:rPr>
          <w:rFonts w:hint="eastAsia" w:ascii="仿宋" w:hAnsi="仿宋" w:eastAsia="仿宋"/>
          <w:b w:val="0"/>
          <w:color w:val="000000"/>
        </w:rPr>
        <w:t>一</w:t>
      </w:r>
      <w:r>
        <w:rPr>
          <w:rStyle w:val="17"/>
          <w:rFonts w:hint="eastAsia" w:ascii="仿宋" w:hAnsi="仿宋" w:eastAsia="仿宋"/>
          <w:b w:val="0"/>
          <w:bCs w:val="0"/>
        </w:rPr>
        <w:t>般公共预算财政拨款支出决算表</w:t>
      </w:r>
      <w:bookmarkEnd w:id="71"/>
      <w:bookmarkEnd w:id="72"/>
    </w:p>
    <w:p>
      <w:pPr>
        <w:pStyle w:val="4"/>
        <w:rPr>
          <w:rFonts w:ascii="仿宋" w:hAnsi="仿宋" w:eastAsia="仿宋"/>
          <w:color w:val="000000"/>
        </w:rPr>
      </w:pPr>
      <w:bookmarkStart w:id="73" w:name="_Toc15396625"/>
      <w:bookmarkStart w:id="74" w:name="_Toc22275"/>
      <w:r>
        <w:rPr>
          <w:rStyle w:val="17"/>
          <w:rFonts w:hint="eastAsia" w:ascii="仿宋" w:hAnsi="仿宋" w:eastAsia="仿宋"/>
          <w:b w:val="0"/>
          <w:bCs w:val="0"/>
        </w:rPr>
        <w:t>七、</w:t>
      </w:r>
      <w:r>
        <w:rPr>
          <w:rFonts w:hint="eastAsia" w:ascii="仿宋" w:hAnsi="仿宋" w:eastAsia="仿宋"/>
          <w:b w:val="0"/>
          <w:color w:val="000000"/>
        </w:rPr>
        <w:t>一</w:t>
      </w:r>
      <w:r>
        <w:rPr>
          <w:rStyle w:val="17"/>
          <w:rFonts w:hint="eastAsia" w:ascii="仿宋" w:hAnsi="仿宋" w:eastAsia="仿宋"/>
          <w:b w:val="0"/>
          <w:bCs w:val="0"/>
        </w:rPr>
        <w:t>般公共预算财政拨款支出决算明细表</w:t>
      </w:r>
      <w:bookmarkEnd w:id="73"/>
      <w:bookmarkEnd w:id="74"/>
    </w:p>
    <w:p>
      <w:pPr>
        <w:pStyle w:val="4"/>
        <w:rPr>
          <w:rFonts w:ascii="仿宋" w:hAnsi="仿宋" w:eastAsia="仿宋"/>
          <w:color w:val="000000"/>
        </w:rPr>
      </w:pPr>
      <w:bookmarkStart w:id="75" w:name="_Toc15396626"/>
      <w:bookmarkStart w:id="76" w:name="_Toc30634"/>
      <w:r>
        <w:rPr>
          <w:rStyle w:val="17"/>
          <w:rFonts w:hint="eastAsia" w:ascii="仿宋" w:hAnsi="仿宋" w:eastAsia="仿宋"/>
          <w:b w:val="0"/>
          <w:bCs w:val="0"/>
        </w:rPr>
        <w:t>八、</w:t>
      </w:r>
      <w:r>
        <w:rPr>
          <w:rFonts w:hint="eastAsia" w:ascii="仿宋" w:hAnsi="仿宋" w:eastAsia="仿宋"/>
          <w:b w:val="0"/>
          <w:color w:val="000000"/>
        </w:rPr>
        <w:t>一</w:t>
      </w:r>
      <w:r>
        <w:rPr>
          <w:rStyle w:val="17"/>
          <w:rFonts w:hint="eastAsia" w:ascii="仿宋" w:hAnsi="仿宋" w:eastAsia="仿宋"/>
          <w:b w:val="0"/>
          <w:bCs w:val="0"/>
        </w:rPr>
        <w:t>般公共预算财政拨款基本支出决算表</w:t>
      </w:r>
      <w:bookmarkEnd w:id="75"/>
      <w:bookmarkEnd w:id="76"/>
    </w:p>
    <w:p>
      <w:pPr>
        <w:pStyle w:val="4"/>
        <w:rPr>
          <w:rFonts w:ascii="仿宋" w:hAnsi="仿宋" w:eastAsia="仿宋"/>
          <w:color w:val="000000"/>
        </w:rPr>
      </w:pPr>
      <w:bookmarkStart w:id="77" w:name="_Toc15396627"/>
      <w:bookmarkStart w:id="78" w:name="_Toc15170"/>
      <w:r>
        <w:rPr>
          <w:rStyle w:val="17"/>
          <w:rFonts w:hint="eastAsia" w:ascii="仿宋" w:hAnsi="仿宋" w:eastAsia="仿宋"/>
          <w:b w:val="0"/>
          <w:bCs w:val="0"/>
        </w:rPr>
        <w:t>九、</w:t>
      </w:r>
      <w:r>
        <w:rPr>
          <w:rFonts w:hint="eastAsia" w:ascii="仿宋" w:hAnsi="仿宋" w:eastAsia="仿宋"/>
          <w:b w:val="0"/>
          <w:color w:val="000000"/>
        </w:rPr>
        <w:t>一</w:t>
      </w:r>
      <w:r>
        <w:rPr>
          <w:rStyle w:val="17"/>
          <w:rFonts w:hint="eastAsia" w:ascii="仿宋" w:hAnsi="仿宋" w:eastAsia="仿宋"/>
          <w:b w:val="0"/>
          <w:bCs w:val="0"/>
        </w:rPr>
        <w:t>般公共预算财政拨款项目支出决算表</w:t>
      </w:r>
      <w:bookmarkEnd w:id="77"/>
      <w:bookmarkEnd w:id="78"/>
    </w:p>
    <w:p>
      <w:pPr>
        <w:pStyle w:val="4"/>
        <w:spacing w:line="360" w:lineRule="auto"/>
        <w:rPr>
          <w:rFonts w:ascii="仿宋" w:hAnsi="仿宋" w:eastAsia="仿宋"/>
          <w:color w:val="000000"/>
        </w:rPr>
      </w:pPr>
      <w:bookmarkStart w:id="79" w:name="_Toc15396628"/>
      <w:bookmarkStart w:id="80" w:name="_Toc17603"/>
      <w:r>
        <w:rPr>
          <w:rStyle w:val="17"/>
          <w:rFonts w:hint="eastAsia" w:ascii="仿宋" w:hAnsi="仿宋" w:eastAsia="仿宋"/>
          <w:b w:val="0"/>
          <w:bCs w:val="0"/>
        </w:rPr>
        <w:t>十、</w:t>
      </w:r>
      <w:r>
        <w:rPr>
          <w:rFonts w:hint="eastAsia" w:ascii="仿宋" w:hAnsi="仿宋" w:eastAsia="仿宋"/>
          <w:b w:val="0"/>
          <w:color w:val="000000"/>
        </w:rPr>
        <w:t>一</w:t>
      </w:r>
      <w:r>
        <w:rPr>
          <w:rStyle w:val="17"/>
          <w:rFonts w:hint="eastAsia" w:ascii="仿宋" w:hAnsi="仿宋" w:eastAsia="仿宋"/>
          <w:b w:val="0"/>
          <w:bCs w:val="0"/>
        </w:rPr>
        <w:t>般公共预算财政拨款“三公”经费支出决算表</w:t>
      </w:r>
      <w:bookmarkEnd w:id="79"/>
      <w:bookmarkEnd w:id="80"/>
    </w:p>
    <w:p>
      <w:pPr>
        <w:pStyle w:val="4"/>
        <w:spacing w:line="360" w:lineRule="auto"/>
        <w:rPr>
          <w:rFonts w:ascii="仿宋" w:hAnsi="仿宋" w:eastAsia="仿宋"/>
          <w:color w:val="000000"/>
        </w:rPr>
      </w:pPr>
      <w:bookmarkStart w:id="81" w:name="_Toc15396629"/>
      <w:bookmarkStart w:id="82" w:name="_Toc7313"/>
      <w:r>
        <w:rPr>
          <w:rStyle w:val="17"/>
          <w:rFonts w:hint="eastAsia" w:ascii="仿宋" w:hAnsi="仿宋" w:eastAsia="仿宋"/>
          <w:b w:val="0"/>
          <w:bCs w:val="0"/>
        </w:rPr>
        <w:t>十一、</w:t>
      </w:r>
      <w:r>
        <w:rPr>
          <w:rFonts w:hint="eastAsia" w:ascii="仿宋" w:hAnsi="仿宋" w:eastAsia="仿宋"/>
          <w:b w:val="0"/>
          <w:color w:val="000000"/>
        </w:rPr>
        <w:t>政</w:t>
      </w:r>
      <w:r>
        <w:rPr>
          <w:rStyle w:val="17"/>
          <w:rFonts w:hint="eastAsia" w:ascii="仿宋" w:hAnsi="仿宋" w:eastAsia="仿宋"/>
          <w:b w:val="0"/>
          <w:bCs w:val="0"/>
        </w:rPr>
        <w:t>府性基金预算财政拨款收入支出决算表</w:t>
      </w:r>
      <w:bookmarkEnd w:id="81"/>
      <w:bookmarkEnd w:id="82"/>
    </w:p>
    <w:p>
      <w:pPr>
        <w:pStyle w:val="4"/>
        <w:rPr>
          <w:rFonts w:hint="eastAsia" w:ascii="仿宋" w:hAnsi="仿宋" w:eastAsia="仿宋"/>
          <w:b w:val="0"/>
          <w:color w:val="000000"/>
        </w:rPr>
      </w:pPr>
      <w:bookmarkStart w:id="83" w:name="_Toc15396630"/>
      <w:bookmarkStart w:id="84" w:name="_Toc9382"/>
      <w:r>
        <w:rPr>
          <w:rFonts w:hint="eastAsia" w:ascii="仿宋" w:hAnsi="仿宋" w:eastAsia="仿宋"/>
          <w:b w:val="0"/>
          <w:color w:val="000000"/>
        </w:rPr>
        <w:t>十二、政府性基金预算财政拨款“三公”经费支出决算表</w:t>
      </w:r>
      <w:bookmarkEnd w:id="83"/>
      <w:bookmarkEnd w:id="84"/>
    </w:p>
    <w:p>
      <w:pPr>
        <w:pStyle w:val="4"/>
        <w:rPr>
          <w:rFonts w:hint="eastAsia" w:ascii="仿宋" w:hAnsi="仿宋" w:eastAsia="仿宋"/>
          <w:b w:val="0"/>
          <w:color w:val="000000"/>
        </w:rPr>
      </w:pPr>
      <w:bookmarkStart w:id="85" w:name="_Toc22683"/>
      <w:r>
        <w:rPr>
          <w:rFonts w:hint="eastAsia" w:ascii="仿宋" w:hAnsi="仿宋" w:eastAsia="仿宋"/>
          <w:b w:val="0"/>
          <w:color w:val="000000"/>
        </w:rPr>
        <w:t>十三、国有资本经营预算财政拨款收入支出决算表</w:t>
      </w:r>
      <w:bookmarkEnd w:id="85"/>
    </w:p>
    <w:p>
      <w:pPr>
        <w:pStyle w:val="4"/>
        <w:rPr>
          <w:rFonts w:hint="eastAsia" w:ascii="仿宋" w:hAnsi="仿宋" w:eastAsia="仿宋"/>
          <w:b w:val="0"/>
          <w:color w:val="000000"/>
        </w:rPr>
      </w:pPr>
      <w:bookmarkStart w:id="86" w:name="_Toc10257"/>
      <w:r>
        <w:rPr>
          <w:rFonts w:hint="eastAsia" w:ascii="仿宋" w:hAnsi="仿宋" w:eastAsia="仿宋"/>
          <w:b w:val="0"/>
          <w:color w:val="000000"/>
        </w:rPr>
        <w:t>十四、国有资本经营预算财政拨款支出决算表</w:t>
      </w:r>
      <w:bookmarkEnd w:id="86"/>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E735447C"/>
    <w:multiLevelType w:val="singleLevel"/>
    <w:tmpl w:val="E735447C"/>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4">
    <w:nsid w:val="181D1AA8"/>
    <w:multiLevelType w:val="singleLevel"/>
    <w:tmpl w:val="181D1AA8"/>
    <w:lvl w:ilvl="0" w:tentative="0">
      <w:start w:val="1"/>
      <w:numFmt w:val="decimal"/>
      <w:lvlText w:val="%1."/>
      <w:lvlJc w:val="left"/>
      <w:pPr>
        <w:tabs>
          <w:tab w:val="left" w:pos="312"/>
        </w:tabs>
      </w:pPr>
    </w:lvl>
  </w:abstractNum>
  <w:abstractNum w:abstractNumId="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6D96529"/>
    <w:rsid w:val="0A8325B4"/>
    <w:rsid w:val="0D09547B"/>
    <w:rsid w:val="10156CA8"/>
    <w:rsid w:val="126D0367"/>
    <w:rsid w:val="19862558"/>
    <w:rsid w:val="225478B9"/>
    <w:rsid w:val="27C00E52"/>
    <w:rsid w:val="28204972"/>
    <w:rsid w:val="3E4169FF"/>
    <w:rsid w:val="402D7572"/>
    <w:rsid w:val="427570BB"/>
    <w:rsid w:val="44C41228"/>
    <w:rsid w:val="5803005A"/>
    <w:rsid w:val="5D3E75DF"/>
    <w:rsid w:val="63953D64"/>
    <w:rsid w:val="6504078C"/>
    <w:rsid w:val="66FC1918"/>
    <w:rsid w:val="683C4E32"/>
    <w:rsid w:val="6E0D5256"/>
    <w:rsid w:val="726E3979"/>
    <w:rsid w:val="7951215B"/>
    <w:rsid w:val="79F87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Cambria" w:hAnsi="Cambria"/>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oc 5"/>
    <w:basedOn w:val="1"/>
    <w:next w:val="1"/>
    <w:qFormat/>
    <w:uiPriority w:val="0"/>
    <w:pPr>
      <w:ind w:left="1680" w:leftChars="800"/>
    </w:pPr>
  </w:style>
  <w:style w:type="paragraph" w:styleId="5">
    <w:name w:val="Body Text"/>
    <w:basedOn w:val="1"/>
    <w:qFormat/>
    <w:uiPriority w:val="99"/>
    <w:pPr>
      <w:spacing w:beforeLines="30"/>
    </w:pPr>
    <w:rPr>
      <w:rFonts w:ascii="仿宋_GB2312" w:eastAsia="仿宋_GB2312"/>
      <w:kern w:val="0"/>
      <w:sz w:val="24"/>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paragraph" w:customStyle="1" w:styleId="14">
    <w:name w:val="标题 5（有编号）（绿盟科技）"/>
    <w:basedOn w:val="1"/>
    <w:next w:val="15"/>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15">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16">
    <w:name w:val=" Char Char6"/>
    <w:basedOn w:val="11"/>
    <w:link w:val="3"/>
    <w:qFormat/>
    <w:locked/>
    <w:uiPriority w:val="9"/>
    <w:rPr>
      <w:b/>
      <w:bCs/>
      <w:kern w:val="44"/>
      <w:sz w:val="44"/>
      <w:szCs w:val="44"/>
    </w:rPr>
  </w:style>
  <w:style w:type="character" w:customStyle="1" w:styleId="17">
    <w:name w:val=" Char Char5"/>
    <w:basedOn w:val="11"/>
    <w:link w:val="4"/>
    <w:qFormat/>
    <w:locked/>
    <w:uiPriority w:val="9"/>
    <w:rPr>
      <w:rFonts w:ascii="Cambria" w:hAnsi="Cambria"/>
      <w:b/>
      <w:bCs/>
      <w:sz w:val="32"/>
      <w:szCs w:val="32"/>
    </w:rPr>
  </w:style>
  <w:style w:type="paragraph" w:customStyle="1" w:styleId="18">
    <w:name w:val="List Paragraph"/>
    <w:basedOn w:val="1"/>
    <w:qFormat/>
    <w:uiPriority w:val="34"/>
    <w:pPr>
      <w:ind w:firstLine="420" w:firstLineChars="200"/>
    </w:p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24037;&#20316;%20(E)\2022&#24180;\&#35780;&#23457;&#20013;&#24515;\2020&#24180;&#20915;&#31639;&#20844;&#24320;&#35828;&#26126;&#12289;&#34920;&#26684;&#12289;&#22270;6.1\&#22270;&#20915;&#31639;.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E:\&#24037;&#20316;%20(E)\2022&#24180;\&#35780;&#23457;&#20013;&#24515;\2020&#24180;&#20915;&#31639;&#20844;&#24320;&#35828;&#26126;&#12289;&#34920;&#26684;&#12289;&#22270;6.1\&#22270;&#20915;&#31639;.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E:\&#24037;&#20316;%20(E)\2022&#24180;\&#35780;&#23457;&#20013;&#24515;\2020&#24180;&#20915;&#31639;&#20844;&#24320;&#35828;&#26126;&#12289;&#34920;&#26684;&#12289;&#22270;6.1\&#22270;&#20915;&#31639;.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E:\&#24037;&#20316;%20(E)\2022&#24180;\&#35780;&#23457;&#20013;&#24515;\2020&#24180;&#20915;&#31639;&#20844;&#24320;&#35828;&#26126;&#12289;&#34920;&#26684;&#12289;&#22270;6.1\&#22270;&#20915;&#31639;.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E:\&#24037;&#20316;%20(E)\2022&#24180;\&#35780;&#23457;&#20013;&#24515;\2020&#24180;&#20915;&#31639;&#20844;&#24320;&#35828;&#26126;&#12289;&#34920;&#26684;&#12289;&#22270;6.1\&#22270;&#20915;&#31639;.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E:\&#24037;&#20316;%20(E)\2022&#24180;\&#35780;&#23457;&#20013;&#24515;\2020&#24180;&#20915;&#31639;&#20844;&#24320;&#35828;&#26126;&#12289;&#34920;&#26684;&#12289;&#22270;6.1\&#22270;&#20915;&#3163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manualLayout>
          <c:xMode val="edge"/>
          <c:yMode val="edge"/>
          <c:x val="0.245694444444444"/>
          <c:y val="0.0486111111111111"/>
        </c:manualLayout>
      </c:layout>
      <c:overlay val="0"/>
      <c:spPr>
        <a:noFill/>
        <a:ln>
          <a:noFill/>
        </a:ln>
        <a:effectLst/>
      </c:spPr>
    </c:title>
    <c:autoTitleDeleted val="0"/>
    <c:plotArea>
      <c:layout/>
      <c:barChart>
        <c:barDir val="col"/>
        <c:grouping val="stacked"/>
        <c:varyColors val="0"/>
        <c:ser>
          <c:idx val="0"/>
          <c:order val="0"/>
          <c:spPr>
            <a:solidFill>
              <a:schemeClr val="accent1"/>
            </a:solidFill>
            <a:ln>
              <a:noFill/>
            </a:ln>
            <a:effectLst/>
          </c:spPr>
          <c:invertIfNegative val="0"/>
          <c:dLbls>
            <c:delete val="1"/>
          </c:dLbls>
          <c:cat>
            <c:strRef>
              <c:f>[图决算.xlsx]图3!$A$4:$A$5</c:f>
              <c:strCache>
                <c:ptCount val="2"/>
                <c:pt idx="0">
                  <c:v>2019年</c:v>
                </c:pt>
                <c:pt idx="1">
                  <c:v>2020年</c:v>
                </c:pt>
              </c:strCache>
            </c:strRef>
          </c:cat>
          <c:val>
            <c:numRef>
              <c:f>[图决算.xlsx]图3!$B$4:$B$5</c:f>
              <c:numCache>
                <c:formatCode>General</c:formatCode>
                <c:ptCount val="2"/>
                <c:pt idx="0">
                  <c:v>227.58</c:v>
                </c:pt>
                <c:pt idx="1">
                  <c:v>67.39</c:v>
                </c:pt>
              </c:numCache>
            </c:numRef>
          </c:val>
        </c:ser>
        <c:dLbls>
          <c:showLegendKey val="0"/>
          <c:showVal val="0"/>
          <c:showCatName val="0"/>
          <c:showSerName val="0"/>
          <c:showPercent val="0"/>
          <c:showBubbleSize val="0"/>
        </c:dLbls>
        <c:gapWidth val="150"/>
        <c:overlap val="100"/>
        <c:axId val="886132139"/>
        <c:axId val="699819290"/>
      </c:barChart>
      <c:catAx>
        <c:axId val="8861321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9819290"/>
        <c:crosses val="autoZero"/>
        <c:auto val="1"/>
        <c:lblAlgn val="ctr"/>
        <c:lblOffset val="100"/>
        <c:noMultiLvlLbl val="0"/>
      </c:catAx>
      <c:valAx>
        <c:axId val="69981929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613213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manualLayout>
          <c:xMode val="edge"/>
          <c:yMode val="edge"/>
          <c:x val="0.328171880554568"/>
          <c:y val="0.00967429861335053"/>
        </c:manualLayout>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201388888888889"/>
          <c:y val="0.190972222222222"/>
          <c:w val="0.938888888888889"/>
          <c:h val="0.667824074074074"/>
        </c:manualLayout>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spPr>
              <a:solidFill>
                <a:schemeClr val="accent2"/>
              </a:solidFill>
              <a:ln w="25400">
                <a:solidFill>
                  <a:schemeClr val="lt1"/>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[图决算.xlsx]图2!$A$4:$A$5</c:f>
              <c:strCache>
                <c:ptCount val="2"/>
                <c:pt idx="0">
                  <c:v>一般公共预算财政拨款</c:v>
                </c:pt>
                <c:pt idx="1">
                  <c:v>其他收入</c:v>
                </c:pt>
              </c:strCache>
            </c:strRef>
          </c:cat>
          <c:val>
            <c:numRef>
              <c:f>[图决算.xlsx]图2!$B$4:$B$5</c:f>
              <c:numCache>
                <c:formatCode>General</c:formatCode>
                <c:ptCount val="2"/>
                <c:pt idx="0">
                  <c:v>32.04</c:v>
                </c:pt>
                <c:pt idx="1">
                  <c:v>1.66</c:v>
                </c:pt>
              </c:numCache>
            </c:numRef>
          </c:val>
        </c:ser>
        <c:dLbls>
          <c:showLegendKey val="0"/>
          <c:showVal val="0"/>
          <c:showCatName val="0"/>
          <c:showSerName val="0"/>
          <c:showPercent val="1"/>
          <c:showBubbleSize val="0"/>
        </c:dLbls>
      </c:pie3DChart>
      <c:spPr>
        <a:noFill/>
        <a:ln>
          <a:noFill/>
        </a:ln>
        <a:effectLst/>
      </c:spPr>
    </c:plotArea>
    <c:legend>
      <c:legendPos val="t"/>
      <c:layout>
        <c:manualLayout>
          <c:xMode val="edge"/>
          <c:yMode val="edge"/>
          <c:x val="0.344513888888889"/>
          <c:y val="0.91597222222222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manualLayout>
          <c:xMode val="edge"/>
          <c:yMode val="edge"/>
          <c:x val="0.356111111111111"/>
          <c:y val="0.03125"/>
        </c:manualLayout>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88888888888889"/>
          <c:y val="0.215277777777778"/>
          <c:w val="0.938888888888889"/>
          <c:h val="0.667824074074074"/>
        </c:manualLayout>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spPr>
              <a:solidFill>
                <a:schemeClr val="accent2"/>
              </a:solidFill>
              <a:ln w="25400">
                <a:solidFill>
                  <a:schemeClr val="lt1"/>
                </a:solidFill>
              </a:ln>
              <a:effectLst/>
              <a:scene3d>
                <a:camera prst="orthographicFront"/>
                <a:lightRig rig="threePt" dir="t"/>
              </a:scene3d>
              <a:sp3d contourW="25400"/>
            </c:spPr>
          </c:dPt>
          <c:dLbls>
            <c:dLbl>
              <c:idx val="1"/>
              <c:layout>
                <c:manualLayout>
                  <c:x val="-0.0500004326378483"/>
                  <c:y val="-0.31725371975309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[图决算.xlsx]图1!$A$1:$A$2</c:f>
              <c:strCache>
                <c:ptCount val="2"/>
                <c:pt idx="0">
                  <c:v>收入预算</c:v>
                </c:pt>
                <c:pt idx="1">
                  <c:v>基本支出</c:v>
                </c:pt>
              </c:strCache>
            </c:strRef>
          </c:cat>
          <c:val>
            <c:numRef>
              <c:f>[图决算.xlsx]图1!$B$1:$B$2</c:f>
              <c:numCache>
                <c:formatCode>General</c:formatCode>
                <c:ptCount val="2"/>
                <c:pt idx="1">
                  <c:v>33.69</c:v>
                </c:pt>
              </c:numCache>
            </c:numRef>
          </c:val>
        </c:ser>
        <c:dLbls>
          <c:showLegendKey val="0"/>
          <c:showVal val="0"/>
          <c:showCatName val="0"/>
          <c:showSerName val="0"/>
          <c:showPercent val="1"/>
          <c:showBubbleSize val="0"/>
        </c:dLbls>
      </c:pie3DChart>
      <c:spPr>
        <a:noFill/>
        <a:ln>
          <a:noFill/>
        </a:ln>
        <a:effectLst/>
      </c:spPr>
    </c:plotArea>
    <c:legend>
      <c:legendPos val="t"/>
      <c:legendEntry>
        <c:idx val="0"/>
        <c:delete val="1"/>
      </c:legendEntry>
      <c:layout>
        <c:manualLayout>
          <c:xMode val="edge"/>
          <c:yMode val="edge"/>
          <c:x val="0.3275"/>
          <c:y val="0.91597222222222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财政拨款收入支出决算总计情况图</a:t>
            </a:r>
          </a:p>
        </c:rich>
      </c:tx>
      <c:layout>
        <c:manualLayout>
          <c:xMode val="edge"/>
          <c:yMode val="edge"/>
          <c:x val="0.245694444444444"/>
          <c:y val="0.0486111111111111"/>
        </c:manualLayout>
      </c:layout>
      <c:overlay val="0"/>
      <c:spPr>
        <a:noFill/>
        <a:ln>
          <a:noFill/>
        </a:ln>
        <a:effectLst/>
      </c:spPr>
    </c:title>
    <c:autoTitleDeleted val="0"/>
    <c:plotArea>
      <c:layout/>
      <c:barChart>
        <c:barDir val="col"/>
        <c:grouping val="stacked"/>
        <c:varyColors val="0"/>
        <c:ser>
          <c:idx val="0"/>
          <c:order val="0"/>
          <c:spPr>
            <a:solidFill>
              <a:schemeClr val="accent1"/>
            </a:solidFill>
            <a:ln>
              <a:noFill/>
            </a:ln>
            <a:effectLst/>
          </c:spPr>
          <c:invertIfNegative val="0"/>
          <c:dLbls>
            <c:delete val="1"/>
          </c:dLbls>
          <c:cat>
            <c:strRef>
              <c:f>'[图决算.xlsx]图3 (2)'!$A$4:$A$5</c:f>
              <c:strCache>
                <c:ptCount val="2"/>
                <c:pt idx="0">
                  <c:v>2019年</c:v>
                </c:pt>
                <c:pt idx="1">
                  <c:v>2020年</c:v>
                </c:pt>
              </c:strCache>
            </c:strRef>
          </c:cat>
          <c:val>
            <c:numRef>
              <c:f>'[图决算.xlsx]图3 (2)'!$B$4:$B$5</c:f>
              <c:numCache>
                <c:formatCode>General</c:formatCode>
                <c:ptCount val="2"/>
                <c:pt idx="0">
                  <c:v>227.58</c:v>
                </c:pt>
                <c:pt idx="1">
                  <c:v>67.39</c:v>
                </c:pt>
              </c:numCache>
            </c:numRef>
          </c:val>
        </c:ser>
        <c:dLbls>
          <c:showLegendKey val="0"/>
          <c:showVal val="0"/>
          <c:showCatName val="0"/>
          <c:showSerName val="0"/>
          <c:showPercent val="0"/>
          <c:showBubbleSize val="0"/>
        </c:dLbls>
        <c:gapWidth val="150"/>
        <c:overlap val="100"/>
        <c:axId val="886132139"/>
        <c:axId val="699819290"/>
      </c:barChart>
      <c:catAx>
        <c:axId val="8861321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9819290"/>
        <c:crosses val="autoZero"/>
        <c:auto val="1"/>
        <c:lblAlgn val="ctr"/>
        <c:lblOffset val="100"/>
        <c:noMultiLvlLbl val="0"/>
      </c:catAx>
      <c:valAx>
        <c:axId val="69981929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613213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一般公共预算财政拨款支出决算总体情况图</a:t>
            </a:r>
          </a:p>
        </c:rich>
      </c:tx>
      <c:layout>
        <c:manualLayout>
          <c:xMode val="edge"/>
          <c:yMode val="edge"/>
          <c:x val="0.220382529260634"/>
          <c:y val="0.00803212851405622"/>
        </c:manualLayout>
      </c:layout>
      <c:overlay val="0"/>
      <c:spPr>
        <a:noFill/>
        <a:ln>
          <a:noFill/>
        </a:ln>
        <a:effectLst/>
      </c:spPr>
    </c:title>
    <c:autoTitleDeleted val="0"/>
    <c:plotArea>
      <c:layout/>
      <c:barChart>
        <c:barDir val="col"/>
        <c:grouping val="stacked"/>
        <c:varyColors val="0"/>
        <c:ser>
          <c:idx val="0"/>
          <c:order val="0"/>
          <c:spPr>
            <a:solidFill>
              <a:schemeClr val="accent1"/>
            </a:solidFill>
            <a:ln>
              <a:noFill/>
            </a:ln>
            <a:effectLst/>
          </c:spPr>
          <c:invertIfNegative val="0"/>
          <c:dLbls>
            <c:delete val="1"/>
          </c:dLbls>
          <c:cat>
            <c:strRef>
              <c:f>'[图决算.xlsx]图3 (3)'!$A$4:$A$5</c:f>
              <c:strCache>
                <c:ptCount val="2"/>
                <c:pt idx="0">
                  <c:v>2019年</c:v>
                </c:pt>
                <c:pt idx="1">
                  <c:v>2020年</c:v>
                </c:pt>
              </c:strCache>
            </c:strRef>
          </c:cat>
          <c:val>
            <c:numRef>
              <c:f>'[图决算.xlsx]图3 (3)'!$B$4:$B$5</c:f>
              <c:numCache>
                <c:formatCode>General</c:formatCode>
                <c:ptCount val="2"/>
                <c:pt idx="0">
                  <c:v>106.68</c:v>
                </c:pt>
                <c:pt idx="1">
                  <c:v>33.69</c:v>
                </c:pt>
              </c:numCache>
            </c:numRef>
          </c:val>
        </c:ser>
        <c:dLbls>
          <c:showLegendKey val="0"/>
          <c:showVal val="0"/>
          <c:showCatName val="0"/>
          <c:showSerName val="0"/>
          <c:showPercent val="0"/>
          <c:showBubbleSize val="0"/>
        </c:dLbls>
        <c:gapWidth val="150"/>
        <c:overlap val="100"/>
        <c:axId val="886132139"/>
        <c:axId val="699819290"/>
      </c:barChart>
      <c:catAx>
        <c:axId val="8861321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9819290"/>
        <c:crosses val="autoZero"/>
        <c:auto val="1"/>
        <c:lblAlgn val="ctr"/>
        <c:lblOffset val="100"/>
        <c:noMultiLvlLbl val="0"/>
      </c:catAx>
      <c:valAx>
        <c:axId val="69981929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613213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26388888888889"/>
          <c:y val="0.225694444444444"/>
          <c:w val="0.938888888888889"/>
          <c:h val="0.667824074074074"/>
        </c:manualLayout>
      </c:layout>
      <c:pie3DChart>
        <c:varyColors val="1"/>
        <c:ser>
          <c:idx val="0"/>
          <c:order val="0"/>
          <c:spPr>
            <a:scene3d>
              <a:camera prst="orthographicFront"/>
              <a:lightRig rig="threePt" dir="t"/>
            </a:scene3d>
            <a:sp3d contourW="25400"/>
          </c:spPr>
          <c:explosion val="0"/>
          <c:dPt>
            <c:idx val="0"/>
            <c:bubble3D val="0"/>
            <c:explosion val="0"/>
            <c:spPr>
              <a:solidFill>
                <a:schemeClr val="accent1"/>
              </a:solidFill>
              <a:ln w="25400">
                <a:solidFill>
                  <a:schemeClr val="lt1"/>
                </a:solidFill>
              </a:ln>
              <a:effectLst/>
              <a:scene3d>
                <a:camera prst="orthographicFront"/>
                <a:lightRig rig="threePt" dir="t"/>
              </a:scene3d>
              <a:sp3d contourW="25400"/>
            </c:spPr>
          </c:dPt>
          <c:dPt>
            <c:idx val="1"/>
            <c:bubble3D val="0"/>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Pt>
            <c:idx val="3"/>
            <c:bubble3D val="0"/>
            <c:spPr>
              <a:solidFill>
                <a:schemeClr val="accent4"/>
              </a:solidFill>
              <a:ln w="25400">
                <a:solidFill>
                  <a:schemeClr val="lt1"/>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[图决算.xlsx]图5!$A$6:$A$9</c:f>
              <c:strCache>
                <c:ptCount val="4"/>
                <c:pt idx="0">
                  <c:v>一般公共服务支出</c:v>
                </c:pt>
                <c:pt idx="1">
                  <c:v>社会保障和就业支出</c:v>
                </c:pt>
                <c:pt idx="2">
                  <c:v>卫生健康支出</c:v>
                </c:pt>
                <c:pt idx="3">
                  <c:v>住房保障支出</c:v>
                </c:pt>
              </c:strCache>
            </c:strRef>
          </c:cat>
          <c:val>
            <c:numRef>
              <c:f>[图决算.xlsx]图5!$B$6:$B$9</c:f>
              <c:numCache>
                <c:formatCode>General</c:formatCode>
                <c:ptCount val="4"/>
                <c:pt idx="0">
                  <c:v>27.27</c:v>
                </c:pt>
                <c:pt idx="1">
                  <c:v>2.9</c:v>
                </c:pt>
                <c:pt idx="2">
                  <c:v>1.53</c:v>
                </c:pt>
                <c:pt idx="3">
                  <c:v>1.99</c:v>
                </c:pt>
              </c:numCache>
            </c:numRef>
          </c:val>
        </c:ser>
        <c:dLbls>
          <c:showLegendKey val="0"/>
          <c:showVal val="0"/>
          <c:showCatName val="0"/>
          <c:showSerName val="0"/>
          <c:showPercent val="1"/>
          <c:showBubbleSize val="0"/>
        </c:dLbls>
      </c:pie3DChart>
      <c:spPr>
        <a:noFill/>
        <a:ln>
          <a:noFill/>
        </a:ln>
        <a:effectLst/>
      </c:spPr>
    </c:plotArea>
    <c:legend>
      <c:legendPos val="t"/>
      <c:layout>
        <c:manualLayout>
          <c:xMode val="edge"/>
          <c:yMode val="edge"/>
          <c:x val="0.0702083333333333"/>
          <c:y val="0.89976851851851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5207</Words>
  <Characters>5623</Characters>
  <Lines>0</Lines>
  <Paragraphs>0</Paragraphs>
  <TotalTime>0</TotalTime>
  <ScaleCrop>false</ScaleCrop>
  <LinksUpToDate>false</LinksUpToDate>
  <CharactersWithSpaces>5679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2022-06-06T01:47:52Z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55338CA428DE4C93A91FF6837987180C</vt:lpwstr>
  </property>
</Properties>
</file>