
<file path=[Content_Types].xml><?xml version="1.0" encoding="utf-8"?>
<Types xmlns="http://schemas.openxmlformats.org/package/2006/content-types">
  <Default Extension="xml" ContentType="application/xml"/>
  <Default Extension="wmf" ContentType="image/x-wmf"/>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cs="仿宋_GB2312"/>
          <w:szCs w:val="32"/>
        </w:rPr>
      </w:pPr>
      <w:r>
        <w:rPr>
          <w:rFonts w:hint="eastAsia" w:ascii="仿宋_GB2312" w:hAnsi="仿宋_GB2312" w:eastAsia="仿宋_GB2312" w:cs="仿宋_GB2312"/>
          <w:szCs w:val="32"/>
        </w:rPr>
        <w:t>附件2</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自贡市自流井区财政局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widowControl/>
        <w:jc w:val="center"/>
      </w:pPr>
    </w:p>
    <w:p>
      <w:pPr>
        <w:pStyle w:val="11"/>
        <w:rPr>
          <w:rFonts w:ascii="仿宋_GB2312" w:hAnsi="仿宋_GB2312" w:eastAsia="仿宋_GB2312" w:cs="仿宋_GB2312"/>
        </w:rPr>
      </w:pPr>
      <w:bookmarkStart w:id="0" w:name="_Toc15396599"/>
      <w:bookmarkStart w:id="1" w:name="_Toc15377196"/>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TOC \o "1-2" \h \z \u </w:instrText>
      </w:r>
      <w:r>
        <w:rPr>
          <w:rFonts w:hint="eastAsia" w:ascii="仿宋_GB2312" w:hAnsi="仿宋_GB2312" w:eastAsia="仿宋_GB2312" w:cs="仿宋_GB2312"/>
        </w:rPr>
        <w:fldChar w:fldCharType="separate"/>
      </w:r>
      <w:r>
        <w:fldChar w:fldCharType="begin"/>
      </w:r>
      <w:r>
        <w:instrText xml:space="preserve"> HYPERLINK \l "_Toc105078705" </w:instrText>
      </w:r>
      <w:r>
        <w:fldChar w:fldCharType="separate"/>
      </w:r>
      <w:r>
        <w:rPr>
          <w:rFonts w:ascii="仿宋_GB2312" w:hAnsi="仿宋_GB2312" w:eastAsia="仿宋_GB2312" w:cs="仿宋_GB2312"/>
        </w:rPr>
        <w:t>第一部分 部门概况</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_Toc105078705 \h </w:instrText>
      </w:r>
      <w:r>
        <w:rPr>
          <w:rFonts w:ascii="仿宋_GB2312" w:hAnsi="仿宋_GB2312" w:eastAsia="仿宋_GB2312" w:cs="仿宋_GB2312"/>
        </w:rPr>
        <w:fldChar w:fldCharType="separate"/>
      </w:r>
      <w:r>
        <w:rPr>
          <w:rFonts w:ascii="仿宋_GB2312" w:hAnsi="仿宋_GB2312" w:eastAsia="仿宋_GB2312" w:cs="仿宋_GB2312"/>
        </w:rPr>
        <w:t>1</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rPr>
          <w:rFonts w:ascii="仿宋_GB2312" w:hAnsi="仿宋_GB2312" w:eastAsia="仿宋_GB2312" w:cs="仿宋_GB2312"/>
          <w:sz w:val="28"/>
          <w:szCs w:val="28"/>
        </w:rPr>
      </w:pPr>
      <w:r>
        <w:fldChar w:fldCharType="begin"/>
      </w:r>
      <w:r>
        <w:instrText xml:space="preserve"> HYPERLINK \l "_Toc105078706" </w:instrText>
      </w:r>
      <w:r>
        <w:fldChar w:fldCharType="separate"/>
      </w:r>
      <w:r>
        <w:rPr>
          <w:rFonts w:ascii="仿宋_GB2312" w:hAnsi="仿宋_GB2312" w:eastAsia="仿宋_GB2312" w:cs="仿宋_GB2312"/>
          <w:sz w:val="28"/>
          <w:szCs w:val="28"/>
        </w:rPr>
        <w:t>一、基本职能及主要工作</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_Toc105078706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"_Toc105078707" </w:instrText>
      </w:r>
      <w:r>
        <w:fldChar w:fldCharType="separate"/>
      </w:r>
      <w:r>
        <w:rPr>
          <w:rFonts w:ascii="仿宋_GB2312" w:hAnsi="仿宋_GB2312" w:eastAsia="仿宋_GB2312" w:cs="仿宋_GB2312"/>
          <w:sz w:val="28"/>
          <w:szCs w:val="28"/>
        </w:rPr>
        <w:t>二、机构设置</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_Toc105078707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1"/>
        <w:rPr>
          <w:rFonts w:ascii="仿宋_GB2312" w:hAnsi="仿宋_GB2312" w:eastAsia="仿宋_GB2312" w:cs="仿宋_GB2312"/>
        </w:rPr>
      </w:pPr>
      <w:r>
        <w:fldChar w:fldCharType="begin"/>
      </w:r>
      <w:r>
        <w:instrText xml:space="preserve"> HYPERLINK \l "_Toc105078708" </w:instrText>
      </w:r>
      <w:r>
        <w:fldChar w:fldCharType="separate"/>
      </w:r>
      <w:r>
        <w:rPr>
          <w:rFonts w:ascii="仿宋_GB2312" w:hAnsi="仿宋_GB2312" w:eastAsia="仿宋_GB2312" w:cs="仿宋_GB2312"/>
        </w:rPr>
        <w:t>第二部分 2020年度部门决算情况说明</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_Toc105078708 \h </w:instrText>
      </w:r>
      <w:r>
        <w:rPr>
          <w:rFonts w:ascii="仿宋_GB2312" w:hAnsi="仿宋_GB2312" w:eastAsia="仿宋_GB2312" w:cs="仿宋_GB2312"/>
        </w:rPr>
        <w:fldChar w:fldCharType="separate"/>
      </w:r>
      <w:r>
        <w:rPr>
          <w:rFonts w:ascii="仿宋_GB2312" w:hAnsi="仿宋_GB2312" w:eastAsia="仿宋_GB2312" w:cs="仿宋_GB2312"/>
        </w:rPr>
        <w:t>9</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"_Toc105078709" </w:instrText>
      </w:r>
      <w:r>
        <w:fldChar w:fldCharType="separate"/>
      </w:r>
      <w:r>
        <w:rPr>
          <w:rFonts w:ascii="仿宋_GB2312" w:hAnsi="仿宋_GB2312" w:eastAsia="仿宋_GB2312" w:cs="仿宋_GB2312"/>
          <w:sz w:val="28"/>
          <w:szCs w:val="28"/>
        </w:rPr>
        <w:t>一、</w:t>
      </w:r>
      <w:r>
        <w:rPr>
          <w:rFonts w:ascii="仿宋_GB2312" w:hAnsi="仿宋_GB2312" w:eastAsia="仿宋_GB2312" w:cs="仿宋_GB2312"/>
          <w:sz w:val="28"/>
          <w:szCs w:val="28"/>
        </w:rPr>
        <w:tab/>
      </w:r>
      <w:r>
        <w:rPr>
          <w:rFonts w:ascii="仿宋_GB2312" w:hAnsi="仿宋_GB2312" w:eastAsia="仿宋_GB2312" w:cs="仿宋_GB2312"/>
          <w:sz w:val="28"/>
          <w:szCs w:val="28"/>
        </w:rPr>
        <w:t>收入支出决算总体情况说明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_Toc105078709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9</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"_Toc105078710" </w:instrText>
      </w:r>
      <w:r>
        <w:fldChar w:fldCharType="separate"/>
      </w:r>
      <w:r>
        <w:rPr>
          <w:rFonts w:ascii="仿宋_GB2312" w:hAnsi="仿宋_GB2312" w:eastAsia="仿宋_GB2312" w:cs="仿宋_GB2312"/>
          <w:sz w:val="28"/>
          <w:szCs w:val="28"/>
        </w:rPr>
        <w:t>二、</w:t>
      </w:r>
      <w:r>
        <w:rPr>
          <w:rFonts w:ascii="仿宋_GB2312" w:hAnsi="仿宋_GB2312" w:eastAsia="仿宋_GB2312" w:cs="仿宋_GB2312"/>
          <w:sz w:val="28"/>
          <w:szCs w:val="28"/>
        </w:rPr>
        <w:tab/>
      </w:r>
      <w:r>
        <w:rPr>
          <w:rFonts w:ascii="仿宋_GB2312" w:hAnsi="仿宋_GB2312" w:eastAsia="仿宋_GB2312" w:cs="仿宋_GB2312"/>
          <w:sz w:val="28"/>
          <w:szCs w:val="28"/>
        </w:rPr>
        <w:t>收入决算情况说明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_Toc105078710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9</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"_Toc105078712" </w:instrText>
      </w:r>
      <w:r>
        <w:fldChar w:fldCharType="separate"/>
      </w:r>
      <w:r>
        <w:rPr>
          <w:rFonts w:ascii="仿宋_GB2312" w:hAnsi="仿宋_GB2312" w:eastAsia="仿宋_GB2312" w:cs="仿宋_GB2312"/>
          <w:sz w:val="28"/>
          <w:szCs w:val="28"/>
        </w:rPr>
        <w:t>三、</w:t>
      </w:r>
      <w:r>
        <w:rPr>
          <w:rFonts w:ascii="仿宋_GB2312" w:hAnsi="仿宋_GB2312" w:eastAsia="仿宋_GB2312" w:cs="仿宋_GB2312"/>
          <w:sz w:val="28"/>
          <w:szCs w:val="28"/>
        </w:rPr>
        <w:tab/>
      </w:r>
      <w:r>
        <w:rPr>
          <w:rFonts w:ascii="仿宋_GB2312" w:hAnsi="仿宋_GB2312" w:eastAsia="仿宋_GB2312" w:cs="仿宋_GB2312"/>
          <w:sz w:val="28"/>
          <w:szCs w:val="28"/>
        </w:rPr>
        <w:t>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10</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"_Toc105078713" </w:instrText>
      </w:r>
      <w:r>
        <w:fldChar w:fldCharType="separate"/>
      </w:r>
      <w:r>
        <w:rPr>
          <w:rFonts w:ascii="仿宋_GB2312" w:hAnsi="仿宋_GB2312" w:eastAsia="仿宋_GB2312" w:cs="仿宋_GB2312"/>
          <w:sz w:val="28"/>
          <w:szCs w:val="28"/>
        </w:rPr>
        <w:t>四、财政拨款收入支出决算总体情况说明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_Toc105078713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10</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"_Toc105078714" </w:instrText>
      </w:r>
      <w:r>
        <w:fldChar w:fldCharType="separate"/>
      </w:r>
      <w:r>
        <w:rPr>
          <w:rFonts w:ascii="仿宋_GB2312" w:hAnsi="仿宋_GB2312" w:eastAsia="仿宋_GB2312" w:cs="仿宋_GB2312"/>
          <w:sz w:val="28"/>
          <w:szCs w:val="28"/>
        </w:rPr>
        <w:t>五、一般公共预算财政拨款支出决算情况说明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11</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"_Toc105078715" </w:instrText>
      </w:r>
      <w:r>
        <w:fldChar w:fldCharType="separate"/>
      </w:r>
      <w:r>
        <w:rPr>
          <w:rFonts w:ascii="仿宋_GB2312" w:hAnsi="仿宋_GB2312" w:eastAsia="仿宋_GB2312" w:cs="仿宋_GB2312"/>
          <w:sz w:val="28"/>
          <w:szCs w:val="28"/>
        </w:rPr>
        <w:t>六、一般公共预算财政拨款基本支出决算情况说明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14</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"_Toc105078716" </w:instrText>
      </w:r>
      <w:r>
        <w:fldChar w:fldCharType="separate"/>
      </w:r>
      <w:r>
        <w:rPr>
          <w:rFonts w:ascii="仿宋_GB2312" w:hAnsi="仿宋_GB2312" w:eastAsia="仿宋_GB2312" w:cs="仿宋_GB2312"/>
          <w:sz w:val="28"/>
          <w:szCs w:val="28"/>
        </w:rPr>
        <w:t>七、“三公”经费财政拨款支出决算情况说明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15</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"_Toc105078717" </w:instrText>
      </w:r>
      <w:r>
        <w:fldChar w:fldCharType="separate"/>
      </w:r>
      <w:r>
        <w:rPr>
          <w:rFonts w:ascii="仿宋_GB2312" w:hAnsi="仿宋_GB2312" w:eastAsia="仿宋_GB2312" w:cs="仿宋_GB2312"/>
          <w:sz w:val="28"/>
          <w:szCs w:val="28"/>
        </w:rPr>
        <w:t>八、政府性基金预算支出决算情况说明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16</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"_Toc105078718" </w:instrText>
      </w:r>
      <w:r>
        <w:fldChar w:fldCharType="separate"/>
      </w:r>
      <w:r>
        <w:rPr>
          <w:rFonts w:ascii="仿宋_GB2312" w:hAnsi="仿宋_GB2312" w:eastAsia="仿宋_GB2312" w:cs="仿宋_GB2312"/>
          <w:sz w:val="28"/>
          <w:szCs w:val="28"/>
        </w:rPr>
        <w:t>九、 国有资本经营预算支出决算情况说明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_Toc105078718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16</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"_Toc105078719" </w:instrText>
      </w:r>
      <w:r>
        <w:fldChar w:fldCharType="separate"/>
      </w:r>
      <w:r>
        <w:rPr>
          <w:rFonts w:ascii="仿宋_GB2312" w:hAnsi="仿宋_GB2312" w:eastAsia="仿宋_GB2312" w:cs="仿宋_GB2312"/>
          <w:sz w:val="28"/>
          <w:szCs w:val="28"/>
        </w:rPr>
        <w:t>十、其他重要事项的情况说明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_Toc105078719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16</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1"/>
        <w:rPr>
          <w:rFonts w:ascii="仿宋_GB2312" w:hAnsi="仿宋_GB2312" w:eastAsia="仿宋_GB2312" w:cs="仿宋_GB2312"/>
        </w:rPr>
      </w:pPr>
      <w:r>
        <w:fldChar w:fldCharType="begin"/>
      </w:r>
      <w:r>
        <w:instrText xml:space="preserve"> HYPERLINK \l "_Toc105078720" </w:instrText>
      </w:r>
      <w:r>
        <w:fldChar w:fldCharType="separate"/>
      </w:r>
      <w:r>
        <w:rPr>
          <w:rFonts w:ascii="仿宋_GB2312" w:hAnsi="仿宋_GB2312" w:eastAsia="仿宋_GB2312" w:cs="仿宋_GB2312"/>
        </w:rPr>
        <w:t>第三部分 名词解释</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_Toc105078720 \h </w:instrText>
      </w:r>
      <w:r>
        <w:rPr>
          <w:rFonts w:ascii="仿宋_GB2312" w:hAnsi="仿宋_GB2312" w:eastAsia="仿宋_GB2312" w:cs="仿宋_GB2312"/>
        </w:rPr>
        <w:fldChar w:fldCharType="separate"/>
      </w:r>
      <w:r>
        <w:rPr>
          <w:rFonts w:ascii="仿宋_GB2312" w:hAnsi="仿宋_GB2312" w:eastAsia="仿宋_GB2312" w:cs="仿宋_GB2312"/>
        </w:rPr>
        <w:t>24</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1"/>
        <w:rPr>
          <w:rFonts w:ascii="仿宋_GB2312" w:hAnsi="仿宋_GB2312" w:eastAsia="仿宋_GB2312" w:cs="仿宋_GB2312"/>
        </w:rPr>
      </w:pPr>
      <w:r>
        <w:fldChar w:fldCharType="begin"/>
      </w:r>
      <w:r>
        <w:instrText xml:space="preserve"> HYPERLINK \l "_Toc105078721" </w:instrText>
      </w:r>
      <w:r>
        <w:fldChar w:fldCharType="separate"/>
      </w:r>
      <w:r>
        <w:rPr>
          <w:rFonts w:ascii="仿宋_GB2312" w:hAnsi="仿宋_GB2312" w:eastAsia="仿宋_GB2312" w:cs="仿宋_GB2312"/>
        </w:rPr>
        <w:t>第四部分 附件</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_Toc105078721 \h </w:instrText>
      </w:r>
      <w:r>
        <w:rPr>
          <w:rFonts w:ascii="仿宋_GB2312" w:hAnsi="仿宋_GB2312" w:eastAsia="仿宋_GB2312" w:cs="仿宋_GB2312"/>
        </w:rPr>
        <w:fldChar w:fldCharType="separate"/>
      </w:r>
      <w:r>
        <w:rPr>
          <w:rFonts w:ascii="仿宋_GB2312" w:hAnsi="仿宋_GB2312" w:eastAsia="仿宋_GB2312" w:cs="仿宋_GB2312"/>
        </w:rPr>
        <w:t>27</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rPr>
          <w:rFonts w:ascii="仿宋_GB2312" w:hAnsi="仿宋_GB2312" w:eastAsia="仿宋_GB2312" w:cs="仿宋_GB2312"/>
          <w:sz w:val="28"/>
          <w:szCs w:val="28"/>
        </w:rPr>
      </w:pPr>
      <w:r>
        <w:fldChar w:fldCharType="begin"/>
      </w:r>
      <w:r>
        <w:instrText xml:space="preserve"> HYPERLINK \l "_Toc105078722" </w:instrText>
      </w:r>
      <w:r>
        <w:fldChar w:fldCharType="separate"/>
      </w:r>
      <w:r>
        <w:rPr>
          <w:rFonts w:ascii="仿宋_GB2312" w:hAnsi="仿宋_GB2312" w:eastAsia="仿宋_GB2312" w:cs="仿宋_GB2312"/>
          <w:sz w:val="28"/>
          <w:szCs w:val="28"/>
        </w:rPr>
        <w:t>附件</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27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1"/>
        <w:rPr>
          <w:rFonts w:ascii="仿宋_GB2312" w:hAnsi="仿宋_GB2312" w:eastAsia="仿宋_GB2312" w:cs="仿宋_GB2312"/>
        </w:rPr>
      </w:pPr>
      <w:r>
        <w:fldChar w:fldCharType="begin"/>
      </w:r>
      <w:r>
        <w:instrText xml:space="preserve"> HYPERLINK \l "_Toc105078723" </w:instrText>
      </w:r>
      <w:r>
        <w:fldChar w:fldCharType="separate"/>
      </w:r>
      <w:r>
        <w:rPr>
          <w:rFonts w:ascii="仿宋_GB2312" w:hAnsi="仿宋_GB2312" w:eastAsia="仿宋_GB2312" w:cs="仿宋_GB2312"/>
        </w:rPr>
        <w:t>第五部分 附表</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_Toc105078723 \h </w:instrText>
      </w:r>
      <w:r>
        <w:rPr>
          <w:rFonts w:ascii="仿宋_GB2312" w:hAnsi="仿宋_GB2312" w:eastAsia="仿宋_GB2312" w:cs="仿宋_GB2312"/>
        </w:rPr>
        <w:fldChar w:fldCharType="separate"/>
      </w:r>
      <w:r>
        <w:rPr>
          <w:rFonts w:ascii="仿宋_GB2312" w:hAnsi="仿宋_GB2312" w:eastAsia="仿宋_GB2312" w:cs="仿宋_GB2312"/>
        </w:rPr>
        <w:t>48</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rPr>
          <w:rFonts w:ascii="仿宋_GB2312" w:hAnsi="仿宋_GB2312" w:eastAsia="仿宋_GB2312" w:cs="仿宋_GB2312"/>
          <w:sz w:val="28"/>
          <w:szCs w:val="28"/>
        </w:rPr>
      </w:pPr>
      <w:r>
        <w:fldChar w:fldCharType="begin"/>
      </w:r>
      <w:r>
        <w:instrText xml:space="preserve"> HYPERLINK \l "_Toc105078724" </w:instrText>
      </w:r>
      <w:r>
        <w:fldChar w:fldCharType="separate"/>
      </w:r>
      <w:r>
        <w:rPr>
          <w:rFonts w:ascii="仿宋_GB2312" w:hAnsi="仿宋_GB2312" w:eastAsia="仿宋_GB2312" w:cs="仿宋_GB2312"/>
          <w:sz w:val="28"/>
          <w:szCs w:val="28"/>
        </w:rPr>
        <w:t>一、收入支出决算总表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"_Toc105078725" </w:instrText>
      </w:r>
      <w:r>
        <w:fldChar w:fldCharType="separate"/>
      </w:r>
      <w:r>
        <w:rPr>
          <w:rFonts w:ascii="仿宋_GB2312" w:hAnsi="仿宋_GB2312" w:eastAsia="仿宋_GB2312" w:cs="仿宋_GB2312"/>
          <w:sz w:val="28"/>
          <w:szCs w:val="28"/>
        </w:rPr>
        <w:t>二、收入决算表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"_Toc105078726" </w:instrText>
      </w:r>
      <w:r>
        <w:fldChar w:fldCharType="separate"/>
      </w:r>
      <w:r>
        <w:rPr>
          <w:rFonts w:ascii="仿宋_GB2312" w:hAnsi="仿宋_GB2312" w:eastAsia="仿宋_GB2312" w:cs="仿宋_GB2312"/>
          <w:sz w:val="28"/>
          <w:szCs w:val="28"/>
        </w:rPr>
        <w:t>三、支出决算表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"_Toc105078727" </w:instrText>
      </w:r>
      <w:r>
        <w:fldChar w:fldCharType="separate"/>
      </w:r>
      <w:r>
        <w:rPr>
          <w:rFonts w:ascii="仿宋_GB2312" w:hAnsi="仿宋_GB2312" w:eastAsia="仿宋_GB2312" w:cs="仿宋_GB2312"/>
          <w:sz w:val="28"/>
          <w:szCs w:val="28"/>
        </w:rPr>
        <w:t>四、财政拨款收入支出决算总表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"_Toc105078728" </w:instrText>
      </w:r>
      <w:r>
        <w:fldChar w:fldCharType="separate"/>
      </w:r>
      <w:r>
        <w:rPr>
          <w:rFonts w:ascii="仿宋_GB2312" w:hAnsi="仿宋_GB2312" w:eastAsia="仿宋_GB2312" w:cs="仿宋_GB2312"/>
          <w:sz w:val="28"/>
          <w:szCs w:val="28"/>
        </w:rPr>
        <w:t>五、财政拨款支出决算明细表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_Toc105078728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"_Toc105078729" </w:instrText>
      </w:r>
      <w:r>
        <w:fldChar w:fldCharType="separate"/>
      </w:r>
      <w:r>
        <w:rPr>
          <w:rFonts w:ascii="仿宋_GB2312" w:hAnsi="仿宋_GB2312" w:eastAsia="仿宋_GB2312" w:cs="仿宋_GB2312"/>
          <w:sz w:val="28"/>
          <w:szCs w:val="28"/>
        </w:rPr>
        <w:t>六、一般公共预算财政拨款支出决算表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_Toc105078729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"_Toc105078730" </w:instrText>
      </w:r>
      <w:r>
        <w:fldChar w:fldCharType="separate"/>
      </w:r>
      <w:r>
        <w:rPr>
          <w:rFonts w:ascii="仿宋_GB2312" w:hAnsi="仿宋_GB2312" w:eastAsia="仿宋_GB2312" w:cs="仿宋_GB2312"/>
          <w:sz w:val="28"/>
          <w:szCs w:val="28"/>
        </w:rPr>
        <w:t>七、一般公共预算财政拨款支出决算明细表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_Toc105078730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"_Toc105078731" </w:instrText>
      </w:r>
      <w:r>
        <w:fldChar w:fldCharType="separate"/>
      </w:r>
      <w:r>
        <w:rPr>
          <w:rFonts w:ascii="仿宋_GB2312" w:hAnsi="仿宋_GB2312" w:eastAsia="仿宋_GB2312" w:cs="仿宋_GB2312"/>
          <w:sz w:val="28"/>
          <w:szCs w:val="28"/>
        </w:rPr>
        <w:t>八、一般公共预算财政拨款基本支出决算表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_Toc105078731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"_Toc105078732" </w:instrText>
      </w:r>
      <w:r>
        <w:fldChar w:fldCharType="separate"/>
      </w:r>
      <w:r>
        <w:rPr>
          <w:rFonts w:ascii="仿宋_GB2312" w:hAnsi="仿宋_GB2312" w:eastAsia="仿宋_GB2312" w:cs="仿宋_GB2312"/>
          <w:sz w:val="28"/>
          <w:szCs w:val="28"/>
        </w:rPr>
        <w:t>九、一般公共预算财政拨款项目支出决算表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"_Toc105078733" </w:instrText>
      </w:r>
      <w:r>
        <w:fldChar w:fldCharType="separate"/>
      </w:r>
      <w:r>
        <w:rPr>
          <w:rFonts w:ascii="仿宋_GB2312" w:hAnsi="仿宋_GB2312" w:eastAsia="仿宋_GB2312" w:cs="仿宋_GB2312"/>
          <w:sz w:val="28"/>
          <w:szCs w:val="28"/>
        </w:rPr>
        <w:t>十、一般公共预算财政拨款“三公”经费支出决算表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_Toc105078733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"_Toc105078734" </w:instrText>
      </w:r>
      <w:r>
        <w:fldChar w:fldCharType="separate"/>
      </w:r>
      <w:r>
        <w:rPr>
          <w:rFonts w:ascii="仿宋_GB2312" w:hAnsi="仿宋_GB2312" w:eastAsia="仿宋_GB2312" w:cs="仿宋_GB2312"/>
          <w:sz w:val="28"/>
          <w:szCs w:val="28"/>
        </w:rPr>
        <w:t>十一、政府性基金预算财政拨款收入支出决算表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"_Toc105078735" </w:instrText>
      </w:r>
      <w:r>
        <w:fldChar w:fldCharType="separate"/>
      </w:r>
      <w:r>
        <w:rPr>
          <w:rFonts w:ascii="仿宋_GB2312" w:hAnsi="仿宋_GB2312" w:eastAsia="仿宋_GB2312" w:cs="仿宋_GB2312"/>
          <w:sz w:val="28"/>
          <w:szCs w:val="28"/>
        </w:rPr>
        <w:t>十二、政府性基金预算财政拨款“三公”经费支出决算表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"_Toc105078736" </w:instrText>
      </w:r>
      <w:r>
        <w:fldChar w:fldCharType="separate"/>
      </w:r>
      <w:r>
        <w:rPr>
          <w:rFonts w:ascii="仿宋_GB2312" w:hAnsi="仿宋_GB2312" w:eastAsia="仿宋_GB2312" w:cs="仿宋_GB2312"/>
          <w:sz w:val="28"/>
          <w:szCs w:val="28"/>
        </w:rPr>
        <w:t>十三、国有资本经营预算支出决算表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_Toc105078736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48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spacing w:line="560" w:lineRule="exact"/>
        <w:ind w:firstLine="2100" w:firstLineChars="750"/>
        <w:rPr>
          <w:rFonts w:ascii="仿宋_GB2312" w:hAnsi="仿宋_GB2312" w:eastAsia="仿宋_GB2312" w:cs="仿宋_GB2312"/>
          <w:sz w:val="28"/>
          <w:szCs w:val="28"/>
        </w:rPr>
        <w:sectPr>
          <w:footerReference r:id="rId4"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仿宋_GB2312" w:hAnsi="仿宋_GB2312" w:eastAsia="仿宋_GB2312" w:cs="仿宋_GB2312"/>
          <w:sz w:val="28"/>
          <w:szCs w:val="28"/>
        </w:rPr>
        <w:fldChar w:fldCharType="end"/>
      </w:r>
    </w:p>
    <w:p>
      <w:pPr>
        <w:spacing w:line="560" w:lineRule="exact"/>
        <w:rPr>
          <w:rFonts w:hint="eastAsia" w:ascii="仿宋_GB2312" w:hAnsi="仿宋" w:eastAsia="仿宋_GB2312"/>
          <w:color w:val="FF0000"/>
          <w:sz w:val="32"/>
          <w:szCs w:val="32"/>
        </w:rPr>
      </w:pPr>
    </w:p>
    <w:bookmarkEnd w:id="0"/>
    <w:bookmarkEnd w:id="1"/>
    <w:p>
      <w:pPr>
        <w:pStyle w:val="3"/>
        <w:jc w:val="center"/>
        <w:rPr>
          <w:rStyle w:val="26"/>
          <w:rFonts w:ascii="黑体" w:hAnsi="黑体" w:eastAsia="黑体"/>
          <w:b/>
          <w:bCs w:val="0"/>
        </w:rPr>
      </w:pPr>
      <w:bookmarkStart w:id="2" w:name="_Toc105078705"/>
      <w:bookmarkStart w:id="3" w:name="_Toc15396600"/>
      <w:bookmarkStart w:id="4" w:name="_Toc15377197"/>
      <w:r>
        <w:rPr>
          <w:rFonts w:hint="eastAsia" w:ascii="黑体" w:hAnsi="黑体" w:eastAsia="黑体"/>
          <w:b w:val="0"/>
        </w:rPr>
        <w:t>第一部分</w:t>
      </w:r>
      <w:r>
        <w:rPr>
          <w:rFonts w:ascii="黑体" w:hAnsi="黑体" w:eastAsia="黑体"/>
          <w:b w:val="0"/>
        </w:rPr>
        <w:t xml:space="preserve"> </w:t>
      </w:r>
      <w:r>
        <w:rPr>
          <w:rStyle w:val="26"/>
          <w:rFonts w:hint="eastAsia" w:ascii="黑体" w:hAnsi="黑体" w:eastAsia="黑体"/>
          <w:b/>
          <w:bCs/>
        </w:rPr>
        <w:t>部门概况</w:t>
      </w:r>
      <w:bookmarkEnd w:id="2"/>
    </w:p>
    <w:p>
      <w:pPr>
        <w:pStyle w:val="4"/>
        <w:rPr>
          <w:rStyle w:val="27"/>
          <w:rFonts w:ascii="仿宋" w:hAnsi="仿宋" w:eastAsia="仿宋"/>
          <w:b w:val="0"/>
          <w:bCs w:val="0"/>
        </w:rPr>
      </w:pPr>
      <w:bookmarkStart w:id="5" w:name="_Toc105078706"/>
      <w:r>
        <w:rPr>
          <w:rFonts w:hint="eastAsia" w:ascii="黑体" w:hAnsi="黑体" w:eastAsia="黑体"/>
          <w:b w:val="0"/>
          <w:color w:val="000000"/>
        </w:rPr>
        <w:t>一、基</w:t>
      </w:r>
      <w:r>
        <w:rPr>
          <w:rStyle w:val="27"/>
          <w:rFonts w:hint="eastAsia" w:ascii="黑体" w:hAnsi="黑体" w:eastAsia="黑体"/>
          <w:b w:val="0"/>
          <w:bCs w:val="0"/>
        </w:rPr>
        <w:t>本职能及主要工作</w:t>
      </w:r>
      <w:bookmarkEnd w:id="3"/>
      <w:bookmarkEnd w:id="4"/>
      <w:bookmarkEnd w:id="5"/>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8445"/>
      <w:bookmarkStart w:id="7" w:name="_Toc15377198"/>
      <w:r>
        <w:rPr>
          <w:rFonts w:hint="eastAsia" w:ascii="仿宋" w:hAnsi="仿宋" w:eastAsia="仿宋"/>
          <w:bCs/>
          <w:color w:val="000000"/>
          <w:sz w:val="32"/>
          <w:szCs w:val="32"/>
        </w:rPr>
        <w:t>（一）主要职能。</w:t>
      </w:r>
      <w:bookmarkEnd w:id="6"/>
      <w:bookmarkEnd w:id="7"/>
    </w:p>
    <w:p>
      <w:pPr>
        <w:pStyle w:val="2"/>
        <w:adjustRightInd w:val="0"/>
        <w:snapToGrid w:val="0"/>
        <w:spacing w:before="93" w:line="580" w:lineRule="exact"/>
        <w:ind w:firstLine="640" w:firstLineChars="200"/>
        <w:rPr>
          <w:sz w:val="32"/>
          <w:szCs w:val="32"/>
        </w:rPr>
      </w:pPr>
      <w:r>
        <w:rPr>
          <w:rFonts w:hint="eastAsia"/>
          <w:sz w:val="32"/>
          <w:szCs w:val="32"/>
        </w:rPr>
        <w:t>1．拟定全区财税（含</w:t>
      </w:r>
      <w:bookmarkStart w:id="103" w:name="_GoBack"/>
      <w:bookmarkEnd w:id="103"/>
      <w:r>
        <w:rPr>
          <w:rFonts w:hint="eastAsia"/>
          <w:sz w:val="32"/>
          <w:szCs w:val="32"/>
        </w:rPr>
        <w:t>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rPr>
        <w:t>2. 贯彻执行国家财税方面的法律、法规和方针、政策，负责组织起草地方性财税法规草案、实施办法和规章制度并组织实施。按照管理权限管理全区税政事项。</w:t>
      </w:r>
    </w:p>
    <w:p>
      <w:pPr>
        <w:pStyle w:val="2"/>
        <w:adjustRightInd w:val="0"/>
        <w:snapToGrid w:val="0"/>
        <w:spacing w:before="93" w:line="580" w:lineRule="exact"/>
        <w:ind w:firstLine="640" w:firstLineChars="200"/>
        <w:rPr>
          <w:sz w:val="32"/>
          <w:szCs w:val="32"/>
        </w:rPr>
      </w:pPr>
      <w:r>
        <w:rPr>
          <w:rFonts w:hint="eastAsia"/>
          <w:sz w:val="32"/>
          <w:szCs w:val="32"/>
        </w:rPr>
        <w:t xml:space="preserve">3.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rPr>
        <w:t>4. 负责政府非税收入管理。负责政府性基金管理，按规定管理行政事业性收费。管理财政票据。</w:t>
      </w:r>
    </w:p>
    <w:p>
      <w:pPr>
        <w:pStyle w:val="2"/>
        <w:adjustRightInd w:val="0"/>
        <w:snapToGrid w:val="0"/>
        <w:spacing w:before="93" w:line="580" w:lineRule="exact"/>
        <w:ind w:firstLine="640" w:firstLineChars="200"/>
        <w:rPr>
          <w:sz w:val="32"/>
          <w:szCs w:val="32"/>
        </w:rPr>
      </w:pPr>
      <w:r>
        <w:rPr>
          <w:rFonts w:hint="eastAsia"/>
          <w:sz w:val="32"/>
          <w:szCs w:val="32"/>
        </w:rPr>
        <w:t xml:space="preserve">5.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rPr>
        <w:t xml:space="preserve">6. 负责制定全区行政事业单位国有资产管理规章制度及区级机关事业单位国有资产收益管理办法并对执行情况进行监督检查，负责区级行政事业单位的国有资产管理，承担其产权界定、清查登记、资产处置工作，负责区级机关国有资产经营收益财政专户管理工作。制定需要全区统一规定的开支标准和支出政策，负责财政预算内行政机构、事业单位和社会团体的非贸易外汇和财政预算内的国际收支管理。    </w:t>
      </w:r>
    </w:p>
    <w:p>
      <w:pPr>
        <w:pStyle w:val="2"/>
        <w:adjustRightInd w:val="0"/>
        <w:snapToGrid w:val="0"/>
        <w:spacing w:before="93" w:line="580" w:lineRule="exact"/>
        <w:ind w:firstLine="640" w:firstLineChars="200"/>
        <w:rPr>
          <w:sz w:val="32"/>
          <w:szCs w:val="32"/>
        </w:rPr>
      </w:pPr>
      <w:r>
        <w:rPr>
          <w:rFonts w:hint="eastAsia"/>
          <w:sz w:val="32"/>
          <w:szCs w:val="32"/>
        </w:rPr>
        <w:t>7. 审核和汇总编制全区国有资本经营预决算草案，制订国有资本经营预算的制度和办法，收取区级企业国有资本收益，组织实施企业财务制度，参与拟订企业国有资产管理相关制度，按规定管理资产评估工作。</w:t>
      </w:r>
    </w:p>
    <w:p>
      <w:pPr>
        <w:pStyle w:val="2"/>
        <w:adjustRightInd w:val="0"/>
        <w:snapToGrid w:val="0"/>
        <w:spacing w:before="93" w:line="580" w:lineRule="exact"/>
        <w:ind w:firstLine="640" w:firstLineChars="200"/>
        <w:rPr>
          <w:sz w:val="32"/>
          <w:szCs w:val="32"/>
        </w:rPr>
      </w:pPr>
      <w:r>
        <w:rPr>
          <w:rFonts w:hint="eastAsia"/>
          <w:sz w:val="32"/>
          <w:szCs w:val="32"/>
        </w:rPr>
        <w:t>8. 管理和监督财政性经济发展支出、政府性投资项目的财政拨款，负责投资评审管理工作，参与拟订政府性建设投资的有关政策，制定基本建设财务制度，负责有关政策性补贴和专项储备资金财政管理工作。负责全区农业综合开发管理工作。</w:t>
      </w:r>
    </w:p>
    <w:p>
      <w:pPr>
        <w:pStyle w:val="2"/>
        <w:adjustRightInd w:val="0"/>
        <w:snapToGrid w:val="0"/>
        <w:spacing w:before="93" w:line="580" w:lineRule="exact"/>
        <w:ind w:firstLine="640" w:firstLineChars="200"/>
        <w:rPr>
          <w:sz w:val="32"/>
          <w:szCs w:val="32"/>
        </w:rPr>
      </w:pPr>
      <w:r>
        <w:rPr>
          <w:rFonts w:hint="eastAsia"/>
          <w:sz w:val="32"/>
          <w:szCs w:val="32"/>
        </w:rPr>
        <w:t>9. 会同有关部门管理全区社会保障和就业及医疗卫生支出，会同有关部门拟订社会保障资金（基金）的财务管理制度，编制区级社会保障预决算草案。</w:t>
      </w:r>
    </w:p>
    <w:p>
      <w:pPr>
        <w:pStyle w:val="2"/>
        <w:adjustRightInd w:val="0"/>
        <w:snapToGrid w:val="0"/>
        <w:spacing w:before="93" w:line="580" w:lineRule="exact"/>
        <w:ind w:firstLine="480" w:firstLineChars="150"/>
        <w:rPr>
          <w:sz w:val="32"/>
          <w:szCs w:val="32"/>
        </w:rPr>
      </w:pPr>
      <w:r>
        <w:rPr>
          <w:rFonts w:hint="eastAsia"/>
          <w:sz w:val="32"/>
          <w:szCs w:val="32"/>
        </w:rPr>
        <w:t>10. 组织执行政府债务管理制度和政策，制定具体管理办法，负责管理全区政府性债务，防范财政风险。参与研究利用外资的有关政策，管理外国政府和国际金融机构贷（赠）款项目的有关业务，参与财税领域的国际交流与合作。</w:t>
      </w:r>
    </w:p>
    <w:p>
      <w:pPr>
        <w:pStyle w:val="2"/>
        <w:adjustRightInd w:val="0"/>
        <w:snapToGrid w:val="0"/>
        <w:spacing w:before="93" w:line="580" w:lineRule="exact"/>
        <w:ind w:firstLine="640" w:firstLineChars="200"/>
        <w:rPr>
          <w:sz w:val="32"/>
          <w:szCs w:val="32"/>
        </w:rPr>
      </w:pPr>
      <w:r>
        <w:rPr>
          <w:rFonts w:hint="eastAsia"/>
          <w:sz w:val="32"/>
          <w:szCs w:val="32"/>
        </w:rPr>
        <w:t>11. 负责管理全区的会计工作，监督、规范会计行为和会计信息，组织实施国家统一的会计制度，指导和管理社会审计工作。</w:t>
      </w:r>
    </w:p>
    <w:p>
      <w:pPr>
        <w:pStyle w:val="2"/>
        <w:adjustRightInd w:val="0"/>
        <w:snapToGrid w:val="0"/>
        <w:spacing w:before="93" w:line="580" w:lineRule="exact"/>
        <w:ind w:firstLine="640" w:firstLineChars="200"/>
        <w:rPr>
          <w:sz w:val="32"/>
          <w:szCs w:val="32"/>
        </w:rPr>
      </w:pPr>
      <w:r>
        <w:rPr>
          <w:rFonts w:hint="eastAsia"/>
          <w:sz w:val="32"/>
          <w:szCs w:val="32"/>
        </w:rPr>
        <w:t>12. 负责财政资金绩效评价。监督检查财税法规、政策的执行情况，反映财政收支管理中的重大问题。依法查处违反财经法纪的行为。</w:t>
      </w:r>
    </w:p>
    <w:p>
      <w:pPr>
        <w:pStyle w:val="2"/>
        <w:adjustRightInd w:val="0"/>
        <w:snapToGrid w:val="0"/>
        <w:spacing w:before="93" w:line="580" w:lineRule="exact"/>
        <w:ind w:firstLine="640" w:firstLineChars="200"/>
        <w:rPr>
          <w:sz w:val="32"/>
          <w:szCs w:val="32"/>
        </w:rPr>
      </w:pPr>
      <w:r>
        <w:rPr>
          <w:rFonts w:hint="eastAsia"/>
          <w:sz w:val="32"/>
          <w:szCs w:val="32"/>
        </w:rPr>
        <w:t>13. 负责财政宣传和财政信息管理系统工作，制订财政科学研究和教育规划，组织和管理全区财政业务培训。</w:t>
      </w:r>
    </w:p>
    <w:p>
      <w:pPr>
        <w:pStyle w:val="2"/>
        <w:adjustRightInd w:val="0"/>
        <w:snapToGrid w:val="0"/>
        <w:spacing w:before="93" w:line="580" w:lineRule="exact"/>
        <w:ind w:firstLine="640" w:firstLineChars="200"/>
        <w:rPr>
          <w:sz w:val="32"/>
          <w:szCs w:val="32"/>
        </w:rPr>
      </w:pPr>
      <w:r>
        <w:rPr>
          <w:rFonts w:hint="eastAsia"/>
          <w:sz w:val="32"/>
          <w:szCs w:val="32"/>
        </w:rPr>
        <w:t>14. 承办区政府交办的其他事项。</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8" w:name="_Toc15378446"/>
      <w:bookmarkStart w:id="9" w:name="_Toc15377199"/>
      <w:r>
        <w:rPr>
          <w:rFonts w:hint="eastAsia" w:ascii="仿宋" w:hAnsi="仿宋" w:eastAsia="仿宋"/>
          <w:bCs/>
          <w:color w:val="000000"/>
          <w:sz w:val="32"/>
          <w:szCs w:val="32"/>
        </w:rPr>
        <w:t>（二）2020年重点工作完成情况。</w:t>
      </w:r>
      <w:bookmarkEnd w:id="8"/>
      <w:bookmarkEnd w:id="9"/>
    </w:p>
    <w:p>
      <w:pPr>
        <w:pStyle w:val="2"/>
        <w:spacing w:before="93"/>
        <w:ind w:firstLine="640" w:firstLineChars="200"/>
        <w:rPr>
          <w:sz w:val="32"/>
          <w:szCs w:val="32"/>
        </w:rPr>
      </w:pPr>
      <w:bookmarkStart w:id="10" w:name="_Toc15377200"/>
      <w:bookmarkStart w:id="11" w:name="_Toc15396601"/>
      <w:r>
        <w:rPr>
          <w:rFonts w:hint="eastAsia"/>
          <w:sz w:val="32"/>
          <w:szCs w:val="32"/>
        </w:rPr>
        <w:t xml:space="preserve">1.积极作为，财政收支规模再创新高。2020年，全区一般公共预算收入预计完成70188万元，增长4 %。其中，税收收入完成47067万元，下降4.08%，非税收入23121万元，增长3.84%。税占比为67.06%，增长0.05个百分点。全区一般公共预算支出预计实现21亿元，增长10.5 %，其中，民生支出预计实现11亿元，占一般公共预算支出的66%。预计基金预算支出15亿元，增长15.4%。预计全区财政收支规模达到36亿元，创历史新高。    </w:t>
      </w:r>
    </w:p>
    <w:p>
      <w:pPr>
        <w:pStyle w:val="2"/>
        <w:spacing w:before="93"/>
        <w:ind w:firstLine="640" w:firstLineChars="200"/>
        <w:rPr>
          <w:sz w:val="32"/>
          <w:szCs w:val="32"/>
        </w:rPr>
      </w:pPr>
      <w:r>
        <w:rPr>
          <w:rFonts w:hint="eastAsia"/>
          <w:sz w:val="32"/>
          <w:szCs w:val="32"/>
        </w:rPr>
        <w:t>2.党建引领，狠抓党的建设。一是提升政治站位。</w:t>
      </w:r>
      <w:r>
        <w:rPr>
          <w:sz w:val="32"/>
          <w:szCs w:val="32"/>
        </w:rPr>
        <w:t>坚持以党建统领财政工作，</w:t>
      </w:r>
      <w:r>
        <w:rPr>
          <w:rFonts w:hint="eastAsia"/>
          <w:sz w:val="32"/>
          <w:szCs w:val="32"/>
        </w:rPr>
        <w:t>履行管党治党政治责任，牢固树立“四个意识”、坚定“四个自信”、坚持“两个维护”。二是压实党建责任。坚持中心组学习、民主集中制和会前学法，严格落实“三会一课”、民主评议党员和“重大事项议事规则”等制度。三是狠抓廉政工作。全面落实主体责任和“一岗双责”，组织学习《党纪处分条例》《廉洁自律准则》等规定。</w:t>
      </w:r>
    </w:p>
    <w:p>
      <w:pPr>
        <w:pStyle w:val="2"/>
        <w:spacing w:before="93"/>
        <w:ind w:firstLine="640" w:firstLineChars="200"/>
        <w:rPr>
          <w:sz w:val="32"/>
          <w:szCs w:val="32"/>
        </w:rPr>
      </w:pPr>
      <w:r>
        <w:rPr>
          <w:rFonts w:hint="eastAsia"/>
          <w:sz w:val="32"/>
          <w:szCs w:val="32"/>
        </w:rPr>
        <w:t>3.行动迅速，疫情防控保障有力。一是闻令而动。疫情防控保卫战一打晌，我局职工踊跃报名积极深入一线，为挂包社区防控工作提供了优质的人力资源。据不完全统计，截止11月19日，财政局共派出500余人次到一线参加疫情防控工作。二是积极作为。及时划拨疫情防控资金，全力以赴做好疫情防控资金保障工作，确保应急保障资金快速、足额保障到位，建立采购绿色通道，全力支持做好疫情防控物资采购工作，并积极向上争取政策资金支持，预计全年共安排疫情防控专项资金6800万元。三是落实政策保障。打好税费优惠、贷款贴息、奖励补助等政策“组合拳”，做到应减尽减、应补尽补；用好金融政策助力复工复产，共帮助疫情受困企业上报申请44家，发放贷款6780万元，财政贴息62万元，安排金融奖补互动106万元；提振消费信心，落实减免房屋租金和、临时电费和物流成本补贴政策，共同对全区36户工业商贸企业临时电费补贴218万元，7家企业物流成本补贴44万元，344户中小企业免收租金95万元。四是优先保障疫情防控。严格落实过紧日子思想，压缩一般性支出，压减办公经费，盘活存量资金确保疫情防控和应急资金需要。</w:t>
      </w:r>
    </w:p>
    <w:p>
      <w:pPr>
        <w:pStyle w:val="2"/>
        <w:spacing w:before="93"/>
        <w:ind w:firstLine="640" w:firstLineChars="200"/>
        <w:rPr>
          <w:sz w:val="32"/>
          <w:szCs w:val="32"/>
        </w:rPr>
      </w:pPr>
      <w:r>
        <w:rPr>
          <w:rFonts w:hint="eastAsia"/>
          <w:sz w:val="32"/>
          <w:szCs w:val="32"/>
        </w:rPr>
        <w:t>4.增收节支，财政运行总体平稳。</w:t>
      </w:r>
      <w:r>
        <w:rPr>
          <w:sz w:val="32"/>
          <w:szCs w:val="32"/>
        </w:rPr>
        <w:t>坚持把确保财政平稳运行作为当前重要任务来抓。一是</w:t>
      </w:r>
      <w:r>
        <w:rPr>
          <w:rFonts w:hint="eastAsia"/>
          <w:sz w:val="32"/>
          <w:szCs w:val="32"/>
        </w:rPr>
        <w:t>积极增收。千方百计抓收入，制定了《组织收入行动专项方案》，加大清欠能力，做到应收尽收。抓</w:t>
      </w:r>
      <w:r>
        <w:rPr>
          <w:sz w:val="32"/>
          <w:szCs w:val="32"/>
        </w:rPr>
        <w:t>实</w:t>
      </w:r>
      <w:r>
        <w:rPr>
          <w:rFonts w:hint="eastAsia"/>
          <w:sz w:val="32"/>
          <w:szCs w:val="32"/>
        </w:rPr>
        <w:t>公检法纪</w:t>
      </w:r>
      <w:r>
        <w:rPr>
          <w:sz w:val="32"/>
          <w:szCs w:val="32"/>
        </w:rPr>
        <w:t>等</w:t>
      </w:r>
      <w:r>
        <w:rPr>
          <w:rFonts w:hint="eastAsia"/>
          <w:sz w:val="32"/>
          <w:szCs w:val="32"/>
        </w:rPr>
        <w:t>执收部门</w:t>
      </w:r>
      <w:r>
        <w:rPr>
          <w:sz w:val="32"/>
          <w:szCs w:val="32"/>
        </w:rPr>
        <w:t>的非税收入收缴</w:t>
      </w:r>
      <w:r>
        <w:rPr>
          <w:rFonts w:hint="eastAsia"/>
          <w:sz w:val="32"/>
          <w:szCs w:val="32"/>
        </w:rPr>
        <w:t>，盘活处置资产加大非税征收力度。同时加速土地出让进程，多方筹措棚改拆迁资金，加快腾空土地变现，全年预计土地出让收入7亿元，壮大了财力。二是努力开源。通过全力清理收回存量、置换上级资金等措施弥补减收，全年收回单位存款结余  466万，预计置换上级资金2000万元。三是严格节支。</w:t>
      </w:r>
      <w:r>
        <w:rPr>
          <w:sz w:val="32"/>
          <w:szCs w:val="32"/>
        </w:rPr>
        <w:t>制定《关于牢固树立过“紧日子”思想调整和优化支出结构确保财政平稳运行工作方案》</w:t>
      </w:r>
      <w:r>
        <w:rPr>
          <w:rFonts w:hint="eastAsia"/>
          <w:sz w:val="32"/>
          <w:szCs w:val="32"/>
        </w:rPr>
        <w:t>，制定《自流井区预算管理办法》，硬化预算</w:t>
      </w:r>
      <w:r>
        <w:rPr>
          <w:sz w:val="32"/>
          <w:szCs w:val="32"/>
        </w:rPr>
        <w:t>约束</w:t>
      </w:r>
      <w:r>
        <w:rPr>
          <w:rFonts w:hint="eastAsia"/>
          <w:sz w:val="32"/>
          <w:szCs w:val="32"/>
        </w:rPr>
        <w:t>，严把</w:t>
      </w:r>
      <w:r>
        <w:rPr>
          <w:sz w:val="32"/>
          <w:szCs w:val="32"/>
        </w:rPr>
        <w:t>支出关口</w:t>
      </w:r>
      <w:r>
        <w:rPr>
          <w:rFonts w:hint="eastAsia"/>
          <w:sz w:val="32"/>
          <w:szCs w:val="32"/>
        </w:rPr>
        <w:t>。区级</w:t>
      </w:r>
      <w:r>
        <w:rPr>
          <w:sz w:val="32"/>
          <w:szCs w:val="32"/>
        </w:rPr>
        <w:t>各部门</w:t>
      </w:r>
      <w:r>
        <w:rPr>
          <w:rFonts w:hint="eastAsia"/>
          <w:sz w:val="32"/>
          <w:szCs w:val="32"/>
        </w:rPr>
        <w:t>三公经费压减3%，一般性支出预计压减18%，</w:t>
      </w:r>
      <w:r>
        <w:rPr>
          <w:sz w:val="32"/>
          <w:szCs w:val="32"/>
        </w:rPr>
        <w:t>统筹用于急需领域支出，缓解了财政收支矛盾，切实兜牢“三保”底线</w:t>
      </w:r>
      <w:r>
        <w:rPr>
          <w:rFonts w:hint="eastAsia"/>
          <w:sz w:val="32"/>
          <w:szCs w:val="32"/>
        </w:rPr>
        <w:t>。四是全力争上力。截止11月底全区各部门向上争取财政资金合计22.13亿元，同比增长2.9%，其中争取新增债券资金7.92亿元，增长34.9%  。</w:t>
      </w:r>
    </w:p>
    <w:p>
      <w:pPr>
        <w:pStyle w:val="2"/>
        <w:spacing w:before="93"/>
        <w:ind w:firstLine="640" w:firstLineChars="200"/>
        <w:rPr>
          <w:sz w:val="32"/>
          <w:szCs w:val="32"/>
        </w:rPr>
      </w:pPr>
      <w:r>
        <w:rPr>
          <w:rFonts w:hint="eastAsia"/>
          <w:sz w:val="32"/>
          <w:szCs w:val="32"/>
        </w:rPr>
        <w:t>5.兜牢底线，财政防范风险能力提升。一是兜牢“三保”支出底线。落实《防范县级“三保”支出风险实施方案》，坚持“三单列三专项”预算管理新机制，将兜牢“三保”底线纳入财政工作首要任务，</w:t>
      </w:r>
      <w:r>
        <w:rPr>
          <w:sz w:val="32"/>
          <w:szCs w:val="32"/>
        </w:rPr>
        <w:t>坚持“三保” 支出在财政支出中的优先顺序，实施工资、扶贫资金专户管理，坚决兜住“三保”支出底线。</w:t>
      </w:r>
      <w:r>
        <w:rPr>
          <w:rFonts w:hint="eastAsia"/>
          <w:sz w:val="32"/>
          <w:szCs w:val="32"/>
        </w:rPr>
        <w:t>二是兜牢</w:t>
      </w:r>
      <w:r>
        <w:rPr>
          <w:sz w:val="32"/>
          <w:szCs w:val="32"/>
        </w:rPr>
        <w:t>政府债务风险。坚持防范和化解并重，降低政府债务风险。完善政府债务风险化解机制，制定债务化解方案</w:t>
      </w:r>
      <w:r>
        <w:rPr>
          <w:rFonts w:hint="eastAsia"/>
          <w:sz w:val="32"/>
          <w:szCs w:val="32"/>
        </w:rPr>
        <w:t>，严控新增项目，遏制债务增量。全年化解隐形债务余额2.96亿元，地方政府综合债务率预计控制在59.76%，预计2020年</w:t>
      </w:r>
      <w:r>
        <w:rPr>
          <w:sz w:val="32"/>
          <w:szCs w:val="32"/>
        </w:rPr>
        <w:t>全区政府债务余额</w:t>
      </w:r>
      <w:r>
        <w:rPr>
          <w:rFonts w:hint="eastAsia"/>
          <w:sz w:val="32"/>
          <w:szCs w:val="32"/>
        </w:rPr>
        <w:t xml:space="preserve">  </w:t>
      </w:r>
      <w:r>
        <w:rPr>
          <w:sz w:val="32"/>
          <w:szCs w:val="32"/>
        </w:rPr>
        <w:t>亿元，未突破省核定限额。</w:t>
      </w:r>
      <w:r>
        <w:rPr>
          <w:rFonts w:hint="eastAsia"/>
          <w:sz w:val="32"/>
          <w:szCs w:val="32"/>
        </w:rPr>
        <w:t>三是开展反金融诈骗工作。配合市金融工作局等相关部门，打击非法集资、金融诈骗等。对圣果园、旭源系等非法</w:t>
      </w:r>
      <w:r>
        <w:rPr>
          <w:sz w:val="32"/>
          <w:szCs w:val="32"/>
        </w:rPr>
        <w:t>集资</w:t>
      </w:r>
      <w:r>
        <w:rPr>
          <w:rFonts w:hint="eastAsia"/>
          <w:sz w:val="32"/>
          <w:szCs w:val="32"/>
        </w:rPr>
        <w:t>案中</w:t>
      </w:r>
      <w:r>
        <w:rPr>
          <w:sz w:val="32"/>
          <w:szCs w:val="32"/>
        </w:rPr>
        <w:t>群众上访</w:t>
      </w:r>
      <w:r>
        <w:rPr>
          <w:rFonts w:hint="eastAsia"/>
          <w:sz w:val="32"/>
          <w:szCs w:val="32"/>
        </w:rPr>
        <w:t>事件</w:t>
      </w:r>
      <w:r>
        <w:rPr>
          <w:sz w:val="32"/>
          <w:szCs w:val="32"/>
        </w:rPr>
        <w:t>，</w:t>
      </w:r>
      <w:r>
        <w:rPr>
          <w:rFonts w:hint="eastAsia"/>
          <w:sz w:val="32"/>
          <w:szCs w:val="32"/>
        </w:rPr>
        <w:t>积极配合，行动迅速，汇报及时。</w:t>
      </w:r>
    </w:p>
    <w:p>
      <w:pPr>
        <w:pStyle w:val="2"/>
        <w:spacing w:before="93"/>
        <w:ind w:firstLine="600" w:firstLineChars="200"/>
        <w:rPr>
          <w:sz w:val="32"/>
          <w:szCs w:val="32"/>
        </w:rPr>
      </w:pPr>
      <w:r>
        <w:rPr>
          <w:rFonts w:hint="eastAsia"/>
          <w:szCs w:val="32"/>
        </w:rPr>
        <w:t>6.优化结构，</w:t>
      </w:r>
      <w:r>
        <w:rPr>
          <w:szCs w:val="32"/>
        </w:rPr>
        <w:t>保障和改善民生有新成效</w:t>
      </w:r>
      <w:r>
        <w:rPr>
          <w:rFonts w:hint="eastAsia"/>
          <w:szCs w:val="32"/>
        </w:rPr>
        <w:t>。</w:t>
      </w:r>
      <w:r>
        <w:rPr>
          <w:rFonts w:hint="eastAsia"/>
          <w:sz w:val="32"/>
          <w:szCs w:val="32"/>
        </w:rPr>
        <w:t>一是坚持民生优先。</w:t>
      </w:r>
      <w:r>
        <w:rPr>
          <w:szCs w:val="32"/>
        </w:rPr>
        <w:t>坚持以人民为中心的发展思想，将保障和改善民生作为支出优先安排保障序列</w:t>
      </w:r>
      <w:r>
        <w:rPr>
          <w:rFonts w:hint="eastAsia"/>
          <w:szCs w:val="32"/>
        </w:rPr>
        <w:t>。预计全年全区民生领域实现支出  12.2亿元，占一般公共预算支出的66%。</w:t>
      </w:r>
      <w:r>
        <w:rPr>
          <w:rFonts w:hint="eastAsia"/>
          <w:sz w:val="32"/>
          <w:szCs w:val="32"/>
        </w:rPr>
        <w:t>二</w:t>
      </w:r>
      <w:r>
        <w:rPr>
          <w:sz w:val="32"/>
          <w:szCs w:val="32"/>
        </w:rPr>
        <w:t>是扎实办好民生实事。做好民生实事预算编制，做实预算资金筹集方案，全力保障市委市政府确定的16件民生实事项目实施</w:t>
      </w:r>
      <w:r>
        <w:rPr>
          <w:rFonts w:hint="eastAsia"/>
          <w:sz w:val="32"/>
          <w:szCs w:val="32"/>
        </w:rPr>
        <w:t>。三是决战决胜脱贫攻坚。四项扶贫基金总规模达到2158万元，扶贫小额贷款率和扶贫小额贷款风险基金覆盖率均位于全市前列，全面巩固提升了3460人的脱贫成果，促进了决战决胜脱贫攻坚工作任务圆满完成。四是环保攻坚有成效。财政将环境治理相关经费纳入财政预算，全年</w:t>
      </w:r>
      <w:r>
        <w:rPr>
          <w:sz w:val="32"/>
          <w:szCs w:val="32"/>
        </w:rPr>
        <w:t>实现节能环保支出</w:t>
      </w:r>
      <w:r>
        <w:rPr>
          <w:rFonts w:hint="eastAsia"/>
          <w:sz w:val="32"/>
          <w:szCs w:val="32"/>
        </w:rPr>
        <w:t>2223万元，加大水环境治理和排污处理，为全区环境治理保护工作提供了资金保障。</w:t>
      </w:r>
    </w:p>
    <w:p>
      <w:pPr>
        <w:pStyle w:val="2"/>
        <w:spacing w:before="93"/>
        <w:ind w:firstLine="640" w:firstLineChars="200"/>
        <w:rPr>
          <w:sz w:val="32"/>
          <w:szCs w:val="32"/>
        </w:rPr>
      </w:pPr>
      <w:r>
        <w:rPr>
          <w:rFonts w:hint="eastAsia"/>
          <w:sz w:val="32"/>
          <w:szCs w:val="32"/>
        </w:rPr>
        <w:t>7.夯基固本，规范管理提效能。一是推进</w:t>
      </w:r>
      <w:r>
        <w:rPr>
          <w:sz w:val="32"/>
          <w:szCs w:val="32"/>
        </w:rPr>
        <w:t>预算管理</w:t>
      </w:r>
      <w:r>
        <w:rPr>
          <w:rFonts w:hint="eastAsia"/>
          <w:sz w:val="32"/>
          <w:szCs w:val="32"/>
        </w:rPr>
        <w:t>改革。认真贯彻落实《预算法》和《预算管理条例》及深化财政预算管理制度改革各项要求，积极而为、量力而行、多措并举进一步加强财政预算管理。制定《自流井区预算管理办法》，强化预算，加强管理。制定了推进财政信息化建设，配合</w:t>
      </w:r>
      <w:r>
        <w:rPr>
          <w:sz w:val="32"/>
          <w:szCs w:val="32"/>
        </w:rPr>
        <w:t>省财政厅妥善处理</w:t>
      </w:r>
      <w:r>
        <w:rPr>
          <w:rFonts w:hint="eastAsia"/>
          <w:sz w:val="32"/>
          <w:szCs w:val="32"/>
        </w:rPr>
        <w:t>“勒索”病毒事件，完成护网演练，保障财政资金安全支付。二是推进预算绩效改革。加强制度约束，将绩效目标与预算编制和执行融合，区级各部门年初部门预算全部完成整体支出和项目支出绩效目标编制，并提交人代会审查。三是深化政府采购改革。加强采购资金预算管理、政府采购、资金支付统筹融合管理，严格评审专家抽取工作规范，规范评审专家使用抽取管理。加强政府采购信息公告管理，增强政府采购信息的透明度，强化社会监督。四是推进投资评审改革。创新投资评审工作，从源头上节约项目资金。截止11月财政投资评审共完成评审项目165项，送审金额36701万元，核减金额4128万元，审定金额32572万元，综合核减率为11.25%。五是加强财政监管。今年以来，财政局创新监督管理方式方法，认真履职尽责，积极推进财政监督检查工作。在全区全面开展了正风肃纪监督检查和专项检查。检查中涉及违规报销差旅费、加值班费和接待费，超标准报销通讯费，重复报销交通费等问题线索15条，违规资金8.67万元，涉及单位12个，已全部整改落实到位。区级  个部门在政府门户网站上及时公开了2019年财政决算、2020年政府预算、部门“三公”经费预算。</w:t>
      </w:r>
    </w:p>
    <w:p>
      <w:pPr>
        <w:pStyle w:val="2"/>
        <w:spacing w:before="93"/>
        <w:ind w:firstLine="640" w:firstLineChars="200"/>
        <w:rPr>
          <w:sz w:val="32"/>
          <w:szCs w:val="32"/>
        </w:rPr>
      </w:pPr>
      <w:r>
        <w:rPr>
          <w:rFonts w:hint="eastAsia"/>
          <w:sz w:val="32"/>
          <w:szCs w:val="32"/>
        </w:rPr>
        <w:t>8.锤炼队伍，树立清廉财政形象。一是抓实做好财政人才队伍建设。我局不断加大对全局干部职工的教育力度，始终坚持做好干部职工思想水平和业务能力的“双促进”。二是强化作风转变。牢固树立大局意识、责任意识、学习意识、服务意识、纪律意识、规矩意识，全面加强干部队伍的履职尽责能力建设。</w:t>
      </w:r>
    </w:p>
    <w:p>
      <w:pPr>
        <w:pStyle w:val="4"/>
        <w:rPr>
          <w:rStyle w:val="27"/>
          <w:b w:val="0"/>
          <w:bCs w:val="0"/>
        </w:rPr>
      </w:pPr>
      <w:bookmarkStart w:id="12" w:name="_Toc105078707"/>
      <w:r>
        <w:rPr>
          <w:rFonts w:hint="eastAsia" w:ascii="黑体" w:eastAsia="黑体"/>
          <w:b w:val="0"/>
          <w:color w:val="000000"/>
        </w:rPr>
        <w:t>二、</w:t>
      </w:r>
      <w:r>
        <w:rPr>
          <w:rFonts w:hint="eastAsia" w:ascii="黑体" w:hAnsi="黑体" w:eastAsia="黑体"/>
          <w:b w:val="0"/>
          <w:color w:val="000000"/>
        </w:rPr>
        <w:t>机</w:t>
      </w:r>
      <w:r>
        <w:rPr>
          <w:rStyle w:val="27"/>
          <w:rFonts w:hint="eastAsia" w:ascii="黑体" w:hAnsi="黑体" w:eastAsia="黑体"/>
          <w:b w:val="0"/>
          <w:bCs w:val="0"/>
        </w:rPr>
        <w:t>构设置</w:t>
      </w:r>
      <w:bookmarkEnd w:id="10"/>
      <w:bookmarkEnd w:id="11"/>
      <w:bookmarkEnd w:id="12"/>
    </w:p>
    <w:p>
      <w:pPr>
        <w:pStyle w:val="2"/>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自流井区财政局下属二级预算单位3个，其中：行政单位:0个，参照公务员法管理的事业单位2个，其他事业单位1个。主要包括：</w:t>
      </w:r>
      <w:bookmarkStart w:id="13" w:name="_Hlk105076674"/>
      <w:r>
        <w:rPr>
          <w:rFonts w:hint="eastAsia" w:ascii="仿宋" w:hAnsi="仿宋" w:eastAsia="仿宋"/>
          <w:color w:val="000000"/>
          <w:sz w:val="32"/>
          <w:szCs w:val="32"/>
        </w:rPr>
        <w:t>区财政局国库支付中心</w:t>
      </w:r>
      <w:bookmarkEnd w:id="13"/>
      <w:r>
        <w:rPr>
          <w:rFonts w:hint="eastAsia" w:ascii="仿宋" w:hAnsi="仿宋" w:eastAsia="仿宋"/>
          <w:color w:val="000000"/>
          <w:sz w:val="32"/>
          <w:szCs w:val="32"/>
        </w:rPr>
        <w:t>、区收费票据监管中心、区财政局评审中心。</w:t>
      </w:r>
    </w:p>
    <w:p>
      <w:pPr>
        <w:pStyle w:val="2"/>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p>
    <w:p>
      <w:pPr>
        <w:pStyle w:val="2"/>
        <w:numPr>
          <w:ilvl w:val="0"/>
          <w:numId w:val="1"/>
        </w:numPr>
        <w:adjustRightInd w:val="0"/>
        <w:snapToGrid w:val="0"/>
        <w:spacing w:before="93" w:line="600" w:lineRule="exact"/>
        <w:outlineLvl w:val="2"/>
        <w:rPr>
          <w:rFonts w:ascii="仿宋" w:hAnsi="仿宋" w:eastAsia="仿宋"/>
          <w:color w:val="000000"/>
          <w:sz w:val="32"/>
          <w:szCs w:val="32"/>
        </w:rPr>
      </w:pPr>
      <w:bookmarkStart w:id="14" w:name="_Toc15306276"/>
      <w:bookmarkStart w:id="15" w:name="_Toc15377433"/>
      <w:bookmarkStart w:id="16" w:name="_Toc15378449"/>
      <w:bookmarkStart w:id="17" w:name="_Toc15377202"/>
      <w:r>
        <w:rPr>
          <w:rFonts w:hint="eastAsia" w:ascii="仿宋" w:hAnsi="仿宋" w:eastAsia="仿宋"/>
          <w:color w:val="000000"/>
          <w:sz w:val="32"/>
          <w:szCs w:val="32"/>
        </w:rPr>
        <w:t>区财政局国库支付中心</w:t>
      </w:r>
      <w:bookmarkEnd w:id="14"/>
      <w:bookmarkEnd w:id="15"/>
      <w:bookmarkEnd w:id="16"/>
      <w:bookmarkEnd w:id="17"/>
    </w:p>
    <w:p>
      <w:pPr>
        <w:pStyle w:val="2"/>
        <w:numPr>
          <w:ilvl w:val="0"/>
          <w:numId w:val="1"/>
        </w:numPr>
        <w:adjustRightInd w:val="0"/>
        <w:snapToGrid w:val="0"/>
        <w:spacing w:before="93" w:line="600" w:lineRule="exact"/>
        <w:outlineLvl w:val="2"/>
        <w:rPr>
          <w:rFonts w:hint="eastAsia" w:ascii="仿宋" w:hAnsi="仿宋" w:eastAsia="仿宋"/>
          <w:color w:val="000000"/>
          <w:sz w:val="32"/>
          <w:szCs w:val="32"/>
        </w:rPr>
      </w:pPr>
      <w:bookmarkStart w:id="18" w:name="_Toc15377434"/>
      <w:bookmarkStart w:id="19" w:name="_Toc15378450"/>
      <w:bookmarkStart w:id="20" w:name="_Toc15306277"/>
      <w:bookmarkStart w:id="21" w:name="_Toc15377203"/>
      <w:r>
        <w:rPr>
          <w:rFonts w:hint="eastAsia" w:ascii="仿宋" w:hAnsi="仿宋" w:eastAsia="仿宋"/>
          <w:color w:val="000000"/>
          <w:sz w:val="32"/>
          <w:szCs w:val="32"/>
        </w:rPr>
        <w:t>区财政局评审中心</w:t>
      </w:r>
      <w:bookmarkEnd w:id="18"/>
      <w:bookmarkEnd w:id="19"/>
      <w:bookmarkEnd w:id="20"/>
      <w:bookmarkEnd w:id="21"/>
    </w:p>
    <w:p>
      <w:pPr>
        <w:pStyle w:val="2"/>
        <w:spacing w:before="93"/>
        <w:rPr>
          <w:rFonts w:hint="eastAsia"/>
        </w:rPr>
      </w:pPr>
    </w:p>
    <w:p>
      <w:pPr>
        <w:pStyle w:val="3"/>
        <w:ind w:right="440"/>
        <w:jc w:val="right"/>
        <w:rPr>
          <w:rFonts w:ascii="黑体" w:hAnsi="黑体" w:eastAsia="黑体"/>
          <w:b w:val="0"/>
          <w:bCs w:val="0"/>
        </w:rPr>
      </w:pPr>
      <w:bookmarkStart w:id="22" w:name="_Toc105078708"/>
      <w:bookmarkStart w:id="23" w:name="_Toc15396602"/>
      <w:bookmarkStart w:id="24" w:name="_Toc15377204"/>
      <w:r>
        <w:rPr>
          <w:rFonts w:hint="eastAsia" w:ascii="黑体" w:hAnsi="黑体" w:eastAsia="黑体"/>
          <w:b w:val="0"/>
          <w:color w:val="000000"/>
        </w:rPr>
        <w:t>第二部分</w:t>
      </w:r>
      <w:r>
        <w:rPr>
          <w:rFonts w:hint="eastAsia" w:ascii="黑体" w:hAnsi="黑体" w:eastAsia="黑体"/>
          <w:color w:val="000000"/>
        </w:rPr>
        <w:t xml:space="preserve"> </w:t>
      </w:r>
      <w:r>
        <w:rPr>
          <w:rStyle w:val="26"/>
          <w:rFonts w:hint="eastAsia" w:ascii="黑体" w:hAnsi="黑体" w:eastAsia="黑体"/>
          <w:b w:val="0"/>
          <w:bCs w:val="0"/>
        </w:rPr>
        <w:t>2020年度部门决算情况说明</w:t>
      </w:r>
      <w:bookmarkEnd w:id="22"/>
      <w:bookmarkEnd w:id="23"/>
      <w:bookmarkEnd w:id="24"/>
    </w:p>
    <w:p>
      <w:pPr>
        <w:pStyle w:val="25"/>
        <w:numPr>
          <w:ilvl w:val="0"/>
          <w:numId w:val="2"/>
        </w:numPr>
        <w:spacing w:line="600" w:lineRule="exact"/>
        <w:ind w:firstLineChars="0"/>
        <w:outlineLvl w:val="1"/>
        <w:rPr>
          <w:rStyle w:val="27"/>
          <w:rFonts w:ascii="黑体" w:hAnsi="黑体" w:eastAsia="黑体"/>
          <w:b w:val="0"/>
        </w:rPr>
      </w:pPr>
      <w:bookmarkStart w:id="25" w:name="_Toc15396603"/>
      <w:bookmarkStart w:id="26" w:name="_Toc105078709"/>
      <w:bookmarkStart w:id="27" w:name="_Toc15377205"/>
      <w:r>
        <w:rPr>
          <w:rFonts w:hint="eastAsia" w:ascii="黑体" w:hAnsi="黑体" w:eastAsia="黑体"/>
          <w:color w:val="000000"/>
          <w:sz w:val="32"/>
          <w:szCs w:val="32"/>
        </w:rPr>
        <w:t>收</w:t>
      </w:r>
      <w:r>
        <w:rPr>
          <w:rStyle w:val="27"/>
          <w:rFonts w:hint="eastAsia" w:ascii="黑体" w:hAnsi="黑体" w:eastAsia="黑体"/>
          <w:b w:val="0"/>
        </w:rPr>
        <w:t>入支出决算总体情况说明</w:t>
      </w:r>
      <w:bookmarkEnd w:id="25"/>
      <w:bookmarkEnd w:id="26"/>
      <w:bookmarkEnd w:id="27"/>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2020年度收、支总计782.57万元。与2019年相比，收、支总计减少382.59万元，增长-32.84</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pStyle w:val="2"/>
        <w:spacing w:before="93"/>
      </w:pPr>
    </w:p>
    <w:p>
      <w:pPr>
        <w:pStyle w:val="2"/>
        <w:spacing w:before="93"/>
        <w:rPr>
          <w:rFonts w:hint="eastAsia"/>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0288" behindDoc="0" locked="0" layoutInCell="1" allowOverlap="1">
            <wp:simplePos x="0" y="0"/>
            <wp:positionH relativeFrom="column">
              <wp:posOffset>67945</wp:posOffset>
            </wp:positionH>
            <wp:positionV relativeFrom="paragraph">
              <wp:posOffset>166370</wp:posOffset>
            </wp:positionV>
            <wp:extent cx="5080000" cy="1704975"/>
            <wp:effectExtent l="4445" t="4445" r="20955" b="508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hint="eastAsia" w:ascii="仿宋" w:hAnsi="仿宋" w:eastAsia="仿宋"/>
          <w:color w:val="000000" w:themeColor="text1"/>
          <w:sz w:val="32"/>
          <w:szCs w:val="32"/>
        </w:rPr>
      </w:pPr>
    </w:p>
    <w:p>
      <w:pPr>
        <w:spacing w:line="600" w:lineRule="exact"/>
        <w:ind w:firstLine="640" w:firstLineChars="200"/>
        <w:rPr>
          <w:rFonts w:ascii="仿宋_GB2312" w:eastAsia="仿宋_GB2312"/>
          <w:color w:val="000000"/>
          <w:sz w:val="32"/>
          <w:szCs w:val="32"/>
        </w:rPr>
      </w:pP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 单位：万元）</w:t>
      </w:r>
    </w:p>
    <w:p>
      <w:pPr>
        <w:pStyle w:val="25"/>
        <w:numPr>
          <w:ilvl w:val="0"/>
          <w:numId w:val="2"/>
        </w:numPr>
        <w:spacing w:line="600" w:lineRule="exact"/>
        <w:ind w:firstLineChars="0"/>
        <w:outlineLvl w:val="1"/>
        <w:rPr>
          <w:rStyle w:val="27"/>
          <w:rFonts w:ascii="黑体" w:hAnsi="黑体" w:eastAsia="黑体"/>
          <w:b w:val="0"/>
        </w:rPr>
      </w:pPr>
      <w:bookmarkStart w:id="28" w:name="_Toc15396604"/>
      <w:bookmarkStart w:id="29" w:name="_Toc15377206"/>
      <w:bookmarkStart w:id="30" w:name="_Toc105078710"/>
      <w:r>
        <w:rPr>
          <w:rFonts w:hint="eastAsia" w:ascii="黑体" w:hAnsi="黑体" w:eastAsia="黑体"/>
          <w:color w:val="000000"/>
          <w:sz w:val="32"/>
          <w:szCs w:val="32"/>
        </w:rPr>
        <w:t>收</w:t>
      </w:r>
      <w:r>
        <w:rPr>
          <w:rStyle w:val="27"/>
          <w:rFonts w:hint="eastAsia" w:ascii="黑体" w:hAnsi="黑体" w:eastAsia="黑体"/>
          <w:b w:val="0"/>
        </w:rPr>
        <w:t>入决算情况说明</w:t>
      </w:r>
      <w:bookmarkEnd w:id="28"/>
      <w:bookmarkEnd w:id="29"/>
      <w:bookmarkEnd w:id="30"/>
    </w:p>
    <w:p>
      <w:pPr>
        <w:pStyle w:val="2"/>
        <w:spacing w:before="93"/>
        <w:ind w:firstLine="640" w:firstLineChars="200"/>
        <w:rPr>
          <w:rFonts w:ascii="仿宋" w:hAnsi="仿宋" w:eastAsia="仿宋"/>
          <w:color w:val="000000"/>
          <w:kern w:val="2"/>
          <w:sz w:val="32"/>
          <w:szCs w:val="32"/>
        </w:rPr>
      </w:pPr>
      <w:r>
        <w:rPr>
          <w:rFonts w:hint="eastAsia" w:ascii="仿宋" w:hAnsi="仿宋" w:eastAsia="仿宋"/>
          <w:color w:val="000000"/>
          <w:kern w:val="2"/>
          <w:sz w:val="32"/>
          <w:szCs w:val="32"/>
        </w:rPr>
        <w:t>2020年本年收入合计755.93万元，其中：一般公共预算财政拨款收入755.93万元，占100</w:t>
      </w:r>
      <w:r>
        <w:rPr>
          <w:rFonts w:ascii="仿宋" w:hAnsi="仿宋" w:eastAsia="仿宋"/>
          <w:color w:val="000000"/>
          <w:kern w:val="2"/>
          <w:sz w:val="32"/>
          <w:szCs w:val="32"/>
        </w:rPr>
        <w:t>%</w:t>
      </w:r>
      <w:r>
        <w:rPr>
          <w:rFonts w:hint="eastAsia" w:ascii="仿宋" w:hAnsi="仿宋" w:eastAsia="仿宋"/>
          <w:color w:val="000000"/>
          <w:kern w:val="2"/>
          <w:sz w:val="32"/>
          <w:szCs w:val="32"/>
        </w:rPr>
        <w:t>。</w:t>
      </w:r>
    </w:p>
    <w:p>
      <w:pPr>
        <w:pStyle w:val="2"/>
        <w:spacing w:before="93"/>
        <w:ind w:firstLine="640" w:firstLineChars="200"/>
        <w:rPr>
          <w:rFonts w:ascii="仿宋" w:hAnsi="仿宋" w:eastAsia="仿宋"/>
          <w:color w:val="000000"/>
          <w:kern w:val="2"/>
          <w:sz w:val="32"/>
          <w:szCs w:val="32"/>
        </w:rPr>
      </w:pPr>
    </w:p>
    <w:p>
      <w:pPr>
        <w:pStyle w:val="2"/>
        <w:spacing w:before="93"/>
        <w:ind w:firstLine="640" w:firstLineChars="200"/>
        <w:rPr>
          <w:rFonts w:ascii="仿宋" w:hAnsi="仿宋" w:eastAsia="仿宋"/>
          <w:color w:val="000000"/>
          <w:kern w:val="2"/>
          <w:sz w:val="32"/>
          <w:szCs w:val="32"/>
        </w:rPr>
      </w:pPr>
    </w:p>
    <w:p>
      <w:pPr>
        <w:pStyle w:val="2"/>
        <w:spacing w:before="93"/>
        <w:ind w:firstLine="600" w:firstLineChars="200"/>
      </w:pPr>
    </w:p>
    <w:p>
      <w:pPr>
        <w:pStyle w:val="2"/>
        <w:spacing w:before="93"/>
        <w:ind w:firstLine="600" w:firstLineChars="200"/>
        <w:rPr>
          <w:rFonts w:hint="eastAsia"/>
        </w:rPr>
      </w:pPr>
    </w:p>
    <w:p>
      <w:pPr>
        <w:spacing w:line="600" w:lineRule="exact"/>
        <w:ind w:firstLine="640" w:firstLineChars="200"/>
        <w:outlineLvl w:val="1"/>
        <w:rPr>
          <w:rFonts w:ascii="仿宋" w:hAnsi="仿宋" w:eastAsia="仿宋"/>
          <w:color w:val="000000"/>
          <w:sz w:val="32"/>
          <w:szCs w:val="32"/>
        </w:rPr>
      </w:pPr>
      <w:bookmarkStart w:id="31" w:name="_Toc105078711"/>
      <w:r>
        <w:rPr>
          <w:rFonts w:hint="eastAsia" w:ascii="仿宋" w:hAnsi="仿宋" w:eastAsia="仿宋"/>
          <w:color w:val="000000"/>
          <w:sz w:val="32"/>
          <w:szCs w:val="32"/>
        </w:rPr>
        <w:drawing>
          <wp:anchor distT="0" distB="0" distL="114300" distR="114300" simplePos="0" relativeHeight="251660288" behindDoc="0" locked="0" layoutInCell="1" allowOverlap="1">
            <wp:simplePos x="0" y="0"/>
            <wp:positionH relativeFrom="column">
              <wp:posOffset>353695</wp:posOffset>
            </wp:positionH>
            <wp:positionV relativeFrom="paragraph">
              <wp:posOffset>90805</wp:posOffset>
            </wp:positionV>
            <wp:extent cx="4899660" cy="2141855"/>
            <wp:effectExtent l="4445" t="4445" r="10795" b="635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bookmarkEnd w:id="31"/>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outlineLvl w:val="1"/>
        <w:rPr>
          <w:rFonts w:ascii="仿宋" w:hAnsi="仿宋" w:eastAsia="仿宋"/>
          <w:color w:val="000000"/>
          <w:sz w:val="32"/>
          <w:szCs w:val="32"/>
        </w:rPr>
      </w:pPr>
    </w:p>
    <w:p>
      <w:pPr>
        <w:pStyle w:val="2"/>
        <w:spacing w:before="93"/>
        <w:rPr>
          <w:rFonts w:hint="eastAsia"/>
        </w:rPr>
      </w:pPr>
    </w:p>
    <w:p>
      <w:pPr>
        <w:spacing w:line="600" w:lineRule="exact"/>
        <w:ind w:firstLine="1600" w:firstLineChars="500"/>
        <w:rPr>
          <w:rFonts w:ascii="仿宋_GB2312" w:eastAsia="仿宋_GB2312"/>
          <w:color w:val="FF0000"/>
          <w:sz w:val="32"/>
          <w:szCs w:val="32"/>
        </w:rPr>
      </w:pPr>
      <w:r>
        <w:rPr>
          <w:rFonts w:hint="eastAsia" w:ascii="仿宋" w:hAnsi="仿宋" w:eastAsia="仿宋"/>
          <w:color w:val="000000" w:themeColor="text1"/>
          <w:sz w:val="32"/>
          <w:szCs w:val="32"/>
        </w:rPr>
        <w:t>（图2：收入决算结构图 单位：万元）</w:t>
      </w:r>
    </w:p>
    <w:p>
      <w:pPr>
        <w:pStyle w:val="25"/>
        <w:numPr>
          <w:ilvl w:val="0"/>
          <w:numId w:val="2"/>
        </w:numPr>
        <w:spacing w:line="600" w:lineRule="exact"/>
        <w:ind w:firstLineChars="0"/>
        <w:outlineLvl w:val="1"/>
        <w:rPr>
          <w:rStyle w:val="27"/>
          <w:rFonts w:ascii="黑体" w:hAnsi="黑体" w:eastAsia="黑体"/>
          <w:b w:val="0"/>
        </w:rPr>
      </w:pPr>
      <w:bookmarkStart w:id="32" w:name="_Toc15377207"/>
      <w:bookmarkStart w:id="33" w:name="_Toc105078712"/>
      <w:bookmarkStart w:id="34" w:name="_Toc15396605"/>
      <w:r>
        <w:rPr>
          <w:rFonts w:hint="eastAsia" w:ascii="黑体" w:hAnsi="黑体" w:eastAsia="黑体"/>
          <w:color w:val="000000"/>
          <w:sz w:val="32"/>
          <w:szCs w:val="32"/>
        </w:rPr>
        <w:t>支</w:t>
      </w:r>
      <w:r>
        <w:rPr>
          <w:rStyle w:val="27"/>
          <w:rFonts w:hint="eastAsia" w:ascii="黑体" w:hAnsi="黑体" w:eastAsia="黑体"/>
          <w:b w:val="0"/>
        </w:rPr>
        <w:t>出决算情况说明</w:t>
      </w:r>
      <w:bookmarkEnd w:id="32"/>
      <w:bookmarkEnd w:id="33"/>
      <w:bookmarkEnd w:id="34"/>
    </w:p>
    <w:p>
      <w:pPr>
        <w:pStyle w:val="2"/>
        <w:spacing w:before="93"/>
        <w:ind w:firstLine="640" w:firstLineChars="200"/>
        <w:rPr>
          <w:rFonts w:ascii="仿宋" w:hAnsi="仿宋" w:eastAsia="仿宋"/>
          <w:color w:val="000000" w:themeColor="text1"/>
          <w:kern w:val="2"/>
          <w:sz w:val="32"/>
          <w:szCs w:val="32"/>
        </w:rPr>
      </w:pPr>
      <w:r>
        <w:rPr>
          <w:rFonts w:hint="eastAsia" w:ascii="仿宋" w:hAnsi="仿宋" w:eastAsia="仿宋"/>
          <w:color w:val="000000" w:themeColor="text1"/>
          <w:kern w:val="2"/>
          <w:sz w:val="32"/>
          <w:szCs w:val="32"/>
        </w:rPr>
        <w:t>2020年本年支出合计775.4万元，其中：基本支出606.75万元，占78.25</w:t>
      </w:r>
      <w:r>
        <w:rPr>
          <w:rFonts w:ascii="仿宋" w:hAnsi="仿宋" w:eastAsia="仿宋"/>
          <w:color w:val="000000" w:themeColor="text1"/>
          <w:kern w:val="2"/>
          <w:sz w:val="32"/>
          <w:szCs w:val="32"/>
        </w:rPr>
        <w:t>%</w:t>
      </w:r>
      <w:r>
        <w:rPr>
          <w:rFonts w:hint="eastAsia" w:ascii="仿宋" w:hAnsi="仿宋" w:eastAsia="仿宋"/>
          <w:color w:val="000000" w:themeColor="text1"/>
          <w:kern w:val="2"/>
          <w:sz w:val="32"/>
          <w:szCs w:val="32"/>
        </w:rPr>
        <w:t>；项目支出168.65万元，占21.75</w:t>
      </w:r>
      <w:r>
        <w:rPr>
          <w:rFonts w:ascii="仿宋" w:hAnsi="仿宋" w:eastAsia="仿宋"/>
          <w:color w:val="000000" w:themeColor="text1"/>
          <w:kern w:val="2"/>
          <w:sz w:val="32"/>
          <w:szCs w:val="32"/>
        </w:rPr>
        <w:t>%</w:t>
      </w:r>
      <w:r>
        <w:rPr>
          <w:rFonts w:hint="eastAsia" w:ascii="仿宋" w:hAnsi="仿宋" w:eastAsia="仿宋"/>
          <w:color w:val="000000" w:themeColor="text1"/>
          <w:kern w:val="2"/>
          <w:sz w:val="32"/>
          <w:szCs w:val="32"/>
        </w:rPr>
        <w:t>。</w:t>
      </w:r>
    </w:p>
    <w:p>
      <w:pPr>
        <w:pStyle w:val="2"/>
        <w:spacing w:before="93"/>
        <w:ind w:firstLine="640" w:firstLineChars="200"/>
        <w:rPr>
          <w:rFonts w:hint="eastAsia" w:ascii="仿宋" w:hAnsi="仿宋" w:eastAsia="仿宋"/>
          <w:color w:val="000000" w:themeColor="text1"/>
          <w:kern w:val="2"/>
          <w:sz w:val="32"/>
          <w:szCs w:val="32"/>
        </w:rPr>
      </w:pPr>
      <w:r>
        <w:rPr>
          <w:rFonts w:hint="eastAsia" w:ascii="仿宋" w:hAnsi="仿宋" w:eastAsia="仿宋"/>
          <w:color w:val="000000"/>
          <w:sz w:val="32"/>
          <w:szCs w:val="32"/>
        </w:rPr>
        <w:drawing>
          <wp:anchor distT="0" distB="0" distL="114300" distR="114300" simplePos="0" relativeHeight="251659264" behindDoc="0" locked="0" layoutInCell="1" allowOverlap="1">
            <wp:simplePos x="0" y="0"/>
            <wp:positionH relativeFrom="column">
              <wp:posOffset>58420</wp:posOffset>
            </wp:positionH>
            <wp:positionV relativeFrom="paragraph">
              <wp:posOffset>154305</wp:posOffset>
            </wp:positionV>
            <wp:extent cx="5022850" cy="2152650"/>
            <wp:effectExtent l="4445" t="4445" r="20955" b="1460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1600" w:firstLineChars="500"/>
        <w:rPr>
          <w:rFonts w:hint="eastAsia" w:ascii="仿宋" w:hAnsi="仿宋" w:eastAsia="仿宋"/>
          <w:color w:val="000000" w:themeColor="text1"/>
          <w:sz w:val="32"/>
          <w:szCs w:val="32"/>
        </w:rPr>
      </w:pPr>
    </w:p>
    <w:p>
      <w:pPr>
        <w:pStyle w:val="2"/>
        <w:spacing w:before="93"/>
        <w:rPr>
          <w:rFonts w:hint="eastAsia"/>
        </w:rPr>
      </w:pPr>
    </w:p>
    <w:p>
      <w:pPr>
        <w:spacing w:line="600" w:lineRule="exact"/>
        <w:ind w:firstLine="1600" w:firstLineChars="500"/>
        <w:rPr>
          <w:rFonts w:ascii="仿宋_GB2312" w:eastAsia="仿宋_GB2312"/>
          <w:color w:val="FF0000"/>
          <w:sz w:val="32"/>
          <w:szCs w:val="32"/>
        </w:rPr>
      </w:pPr>
      <w:r>
        <w:rPr>
          <w:rFonts w:hint="eastAsia" w:ascii="仿宋" w:hAnsi="仿宋" w:eastAsia="仿宋"/>
          <w:color w:val="000000" w:themeColor="text1"/>
          <w:sz w:val="32"/>
          <w:szCs w:val="32"/>
        </w:rPr>
        <w:t>（图3：支出决算结构图 单位：万元）</w:t>
      </w:r>
    </w:p>
    <w:p>
      <w:pPr>
        <w:spacing w:line="600" w:lineRule="exact"/>
        <w:ind w:firstLine="640" w:firstLineChars="200"/>
        <w:outlineLvl w:val="1"/>
        <w:rPr>
          <w:rStyle w:val="27"/>
          <w:rFonts w:ascii="黑体" w:hAnsi="黑体" w:eastAsia="黑体"/>
          <w:b w:val="0"/>
        </w:rPr>
      </w:pPr>
      <w:bookmarkStart w:id="35" w:name="_Toc15396606"/>
      <w:bookmarkStart w:id="36" w:name="_Toc15377208"/>
      <w:bookmarkStart w:id="37" w:name="_Toc105078713"/>
      <w:r>
        <w:rPr>
          <w:rFonts w:hint="eastAsia" w:ascii="黑体" w:hAnsi="黑体" w:eastAsia="黑体"/>
          <w:color w:val="000000"/>
          <w:sz w:val="32"/>
          <w:szCs w:val="32"/>
        </w:rPr>
        <w:t>四、财</w:t>
      </w:r>
      <w:r>
        <w:rPr>
          <w:rStyle w:val="27"/>
          <w:rFonts w:hint="eastAsia" w:ascii="黑体" w:hAnsi="黑体" w:eastAsia="黑体"/>
          <w:b w:val="0"/>
        </w:rPr>
        <w:t>政拨款收入支出决算总体情况说明</w:t>
      </w:r>
      <w:bookmarkEnd w:id="35"/>
      <w:bookmarkEnd w:id="36"/>
      <w:bookmarkEnd w:id="37"/>
    </w:p>
    <w:p>
      <w:pPr>
        <w:spacing w:line="600" w:lineRule="exact"/>
        <w:ind w:firstLine="640" w:firstLineChars="200"/>
        <w:rPr>
          <w:rFonts w:ascii="仿宋" w:hAnsi="仿宋" w:eastAsia="仿宋"/>
          <w:color w:val="000000"/>
          <w:sz w:val="32"/>
          <w:szCs w:val="32"/>
          <w:highlight w:val="yellow"/>
        </w:rPr>
      </w:pPr>
      <w:r>
        <w:rPr>
          <w:rFonts w:hint="eastAsia" w:ascii="仿宋" w:hAnsi="仿宋" w:eastAsia="仿宋"/>
          <w:color w:val="000000"/>
          <w:sz w:val="32"/>
          <w:szCs w:val="32"/>
        </w:rPr>
        <w:t>2020年度收、支总计782.57万元。与2019年相比，收、支总计减少382.59万元，增长-32.84</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pStyle w:val="2"/>
        <w:spacing w:before="93"/>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2336" behindDoc="0" locked="0" layoutInCell="1" allowOverlap="1">
            <wp:simplePos x="0" y="0"/>
            <wp:positionH relativeFrom="column">
              <wp:posOffset>1270</wp:posOffset>
            </wp:positionH>
            <wp:positionV relativeFrom="paragraph">
              <wp:posOffset>52070</wp:posOffset>
            </wp:positionV>
            <wp:extent cx="5080000" cy="1838960"/>
            <wp:effectExtent l="4445" t="4445" r="20955" b="2349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firstLineChars="200"/>
        <w:rPr>
          <w:rFonts w:ascii="仿宋" w:hAnsi="仿宋" w:eastAsia="仿宋"/>
          <w:b/>
          <w:color w:val="00B050"/>
          <w:sz w:val="32"/>
          <w:szCs w:val="32"/>
        </w:rPr>
      </w:pPr>
      <w:r>
        <w:rPr>
          <w:rFonts w:hint="eastAsia" w:ascii="仿宋" w:hAnsi="仿宋" w:eastAsia="仿宋"/>
          <w:color w:val="000000" w:themeColor="text1"/>
          <w:sz w:val="32"/>
          <w:szCs w:val="32"/>
        </w:rPr>
        <w:t>（图4：财政拨款收、支决算总计变动情况 单位：万元）</w:t>
      </w:r>
    </w:p>
    <w:p>
      <w:pPr>
        <w:spacing w:line="600" w:lineRule="exact"/>
        <w:ind w:firstLine="640" w:firstLineChars="200"/>
        <w:outlineLvl w:val="1"/>
        <w:rPr>
          <w:rStyle w:val="27"/>
          <w:rFonts w:ascii="黑体" w:hAnsi="黑体" w:eastAsia="黑体"/>
          <w:b w:val="0"/>
        </w:rPr>
      </w:pPr>
      <w:bookmarkStart w:id="38" w:name="_Toc15377209"/>
      <w:bookmarkStart w:id="39" w:name="_Toc15396607"/>
      <w:bookmarkStart w:id="40" w:name="_Toc105078714"/>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7"/>
          <w:rFonts w:hint="eastAsia" w:ascii="黑体" w:hAnsi="黑体" w:eastAsia="黑体"/>
          <w:b w:val="0"/>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000000"/>
          <w:sz w:val="32"/>
          <w:szCs w:val="32"/>
        </w:rPr>
      </w:pPr>
      <w:bookmarkStart w:id="41" w:name="_Toc15377210"/>
      <w:r>
        <w:rPr>
          <w:rFonts w:hint="eastAsia" w:ascii="仿宋" w:hAnsi="仿宋" w:eastAsia="仿宋"/>
          <w:b/>
          <w:color w:val="000000"/>
          <w:sz w:val="32"/>
          <w:szCs w:val="32"/>
        </w:rPr>
        <w:t>（一）一般公共预算财政拨款支出决算总体情况</w:t>
      </w:r>
      <w:bookmarkEnd w:id="41"/>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2020年一般公共预算财政拨款支出775.4万元，占本年支出合计的100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9年相比，一般公共预算财政拨款减少291.57万元，增长-27.33</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pStyle w:val="2"/>
        <w:spacing w:before="93"/>
      </w:pPr>
    </w:p>
    <w:p>
      <w:pPr>
        <w:pStyle w:val="2"/>
        <w:spacing w:before="93"/>
        <w:rPr>
          <w:rFonts w:hint="eastAsia"/>
        </w:rPr>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3360" behindDoc="0" locked="0" layoutInCell="1" allowOverlap="1">
            <wp:simplePos x="0" y="0"/>
            <wp:positionH relativeFrom="column">
              <wp:posOffset>385445</wp:posOffset>
            </wp:positionH>
            <wp:positionV relativeFrom="paragraph">
              <wp:posOffset>51435</wp:posOffset>
            </wp:positionV>
            <wp:extent cx="4907915" cy="2395855"/>
            <wp:effectExtent l="0" t="0" r="0" b="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pStyle w:val="2"/>
        <w:spacing w:before="93"/>
      </w:pPr>
    </w:p>
    <w:p>
      <w:pPr>
        <w:pStyle w:val="2"/>
        <w:spacing w:before="93"/>
        <w:rPr>
          <w:rFonts w:hint="eastAsia"/>
        </w:rPr>
      </w:pPr>
    </w:p>
    <w:p>
      <w:pPr>
        <w:spacing w:line="600" w:lineRule="exact"/>
        <w:ind w:firstLine="280" w:firstLineChars="100"/>
        <w:rPr>
          <w:rFonts w:ascii="仿宋" w:hAnsi="仿宋" w:eastAsia="仿宋"/>
          <w:color w:val="000000" w:themeColor="text1"/>
          <w:sz w:val="28"/>
          <w:szCs w:val="28"/>
        </w:rPr>
      </w:pPr>
      <w:r>
        <w:rPr>
          <w:rFonts w:hint="eastAsia" w:ascii="仿宋" w:hAnsi="仿宋" w:eastAsia="仿宋"/>
          <w:color w:val="000000" w:themeColor="text1"/>
          <w:sz w:val="28"/>
          <w:szCs w:val="28"/>
        </w:rPr>
        <w:t>（图5：一般公共预算财政拨款支出决算变动情况 单位：万元）</w:t>
      </w:r>
    </w:p>
    <w:p>
      <w:pPr>
        <w:spacing w:line="600" w:lineRule="exact"/>
        <w:ind w:firstLine="640" w:firstLineChars="200"/>
        <w:rPr>
          <w:rFonts w:ascii="仿宋" w:hAnsi="仿宋" w:eastAsia="仿宋"/>
          <w:color w:val="000000" w:themeColor="text1"/>
          <w:sz w:val="32"/>
          <w:szCs w:val="32"/>
        </w:rPr>
      </w:pPr>
    </w:p>
    <w:p>
      <w:pPr>
        <w:spacing w:line="600" w:lineRule="exact"/>
        <w:ind w:firstLine="643" w:firstLineChars="200"/>
        <w:outlineLvl w:val="2"/>
        <w:rPr>
          <w:rFonts w:ascii="仿宋" w:hAnsi="仿宋" w:eastAsia="仿宋"/>
          <w:b/>
          <w:color w:val="000000"/>
          <w:sz w:val="32"/>
          <w:szCs w:val="32"/>
        </w:rPr>
      </w:pPr>
      <w:bookmarkStart w:id="42" w:name="_Toc15377211"/>
      <w:r>
        <w:rPr>
          <w:rFonts w:hint="eastAsia" w:ascii="仿宋" w:hAnsi="仿宋" w:eastAsia="仿宋"/>
          <w:b/>
          <w:color w:val="000000"/>
          <w:sz w:val="32"/>
          <w:szCs w:val="32"/>
        </w:rPr>
        <w:t>（二）一般公共预算财政拨款支出决算结构情况</w:t>
      </w:r>
      <w:bookmarkEnd w:id="42"/>
    </w:p>
    <w:p>
      <w:pPr>
        <w:spacing w:line="600" w:lineRule="exact"/>
        <w:ind w:firstLine="640"/>
        <w:rPr>
          <w:rFonts w:ascii="仿宋" w:hAnsi="仿宋" w:eastAsia="仿宋"/>
          <w:color w:val="000000" w:themeColor="text1"/>
          <w:sz w:val="32"/>
          <w:szCs w:val="32"/>
        </w:rPr>
      </w:pPr>
      <w:r>
        <w:rPr>
          <w:rFonts w:hint="eastAsia" w:ascii="仿宋" w:hAnsi="仿宋" w:eastAsia="仿宋"/>
          <w:color w:val="000000"/>
          <w:sz w:val="32"/>
          <w:szCs w:val="32"/>
        </w:rPr>
        <w:t>2020年一般公共预算财</w:t>
      </w:r>
      <w:r>
        <w:rPr>
          <w:rFonts w:hint="eastAsia" w:ascii="仿宋" w:hAnsi="仿宋" w:eastAsia="仿宋"/>
          <w:color w:val="000000" w:themeColor="text1"/>
          <w:sz w:val="32"/>
          <w:szCs w:val="32"/>
        </w:rPr>
        <w:t>政拨款支出775.40万元，主要用于以下方面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支出636万元，占82.02</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支出63万元，占8.12</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卫生健康（类）</w:t>
      </w:r>
      <w:r>
        <w:rPr>
          <w:rFonts w:hint="eastAsia" w:ascii="仿宋" w:hAnsi="仿宋" w:eastAsia="仿宋"/>
          <w:color w:val="000000" w:themeColor="text1"/>
          <w:sz w:val="32"/>
          <w:szCs w:val="32"/>
        </w:rPr>
        <w:t>支出14.98万元，占1.93</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金融（类）</w:t>
      </w:r>
      <w:r>
        <w:rPr>
          <w:rFonts w:hint="eastAsia" w:ascii="仿宋" w:hAnsi="仿宋" w:eastAsia="仿宋"/>
          <w:bCs/>
          <w:color w:val="000000" w:themeColor="text1"/>
          <w:sz w:val="32"/>
          <w:szCs w:val="32"/>
        </w:rPr>
        <w:t>支出39.50万元，占5.1%；</w:t>
      </w:r>
      <w:r>
        <w:rPr>
          <w:rFonts w:hint="eastAsia" w:ascii="仿宋" w:hAnsi="仿宋" w:eastAsia="仿宋"/>
          <w:b/>
          <w:color w:val="000000" w:themeColor="text1"/>
          <w:sz w:val="32"/>
          <w:szCs w:val="32"/>
        </w:rPr>
        <w:t>住房保障支出（类）</w:t>
      </w:r>
      <w:r>
        <w:rPr>
          <w:rFonts w:hint="eastAsia" w:ascii="仿宋" w:hAnsi="仿宋" w:eastAsia="仿宋"/>
          <w:bCs/>
          <w:color w:val="000000" w:themeColor="text1"/>
          <w:sz w:val="32"/>
          <w:szCs w:val="32"/>
        </w:rPr>
        <w:t>21.92万元，占2.83</w:t>
      </w:r>
      <w:r>
        <w:rPr>
          <w:rFonts w:ascii="仿宋" w:hAnsi="仿宋" w:eastAsia="仿宋"/>
          <w:bCs/>
          <w:color w:val="000000" w:themeColor="text1"/>
          <w:sz w:val="32"/>
          <w:szCs w:val="32"/>
        </w:rPr>
        <w:t>%</w:t>
      </w:r>
      <w:r>
        <w:rPr>
          <w:rFonts w:hint="eastAsia" w:ascii="仿宋" w:hAnsi="仿宋" w:eastAsia="仿宋"/>
          <w:color w:val="000000" w:themeColor="text1"/>
          <w:sz w:val="32"/>
          <w:szCs w:val="32"/>
        </w:rPr>
        <w:t>。</w:t>
      </w:r>
    </w:p>
    <w:p>
      <w:pPr>
        <w:spacing w:line="600" w:lineRule="exact"/>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4384" behindDoc="0" locked="0" layoutInCell="1" allowOverlap="1">
            <wp:simplePos x="0" y="0"/>
            <wp:positionH relativeFrom="column">
              <wp:posOffset>306070</wp:posOffset>
            </wp:positionH>
            <wp:positionV relativeFrom="paragraph">
              <wp:posOffset>31750</wp:posOffset>
            </wp:positionV>
            <wp:extent cx="4880610" cy="1895475"/>
            <wp:effectExtent l="4445" t="4445" r="10795" b="508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ascii="仿宋" w:hAnsi="仿宋" w:eastAsia="仿宋"/>
          <w:color w:val="000000" w:themeColor="text1"/>
          <w:sz w:val="32"/>
          <w:szCs w:val="32"/>
        </w:rPr>
      </w:pPr>
    </w:p>
    <w:p>
      <w:pPr>
        <w:spacing w:line="600" w:lineRule="exact"/>
        <w:ind w:firstLine="640"/>
        <w:rPr>
          <w:rFonts w:ascii="仿宋" w:hAnsi="仿宋" w:eastAsia="仿宋"/>
          <w:color w:val="000000" w:themeColor="text1"/>
          <w:sz w:val="32"/>
          <w:szCs w:val="32"/>
        </w:rPr>
      </w:pPr>
    </w:p>
    <w:p>
      <w:pPr>
        <w:spacing w:line="600" w:lineRule="exact"/>
        <w:ind w:firstLine="64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 w:hAnsi="仿宋" w:eastAsia="仿宋"/>
          <w:color w:val="000000"/>
          <w:sz w:val="32"/>
          <w:szCs w:val="32"/>
        </w:rPr>
        <w:t>（图6：一般公共预算财政拨款支出决算结构 单位：万元）</w:t>
      </w:r>
    </w:p>
    <w:p>
      <w:pPr>
        <w:spacing w:line="600" w:lineRule="exact"/>
        <w:ind w:firstLine="643" w:firstLineChars="200"/>
        <w:outlineLvl w:val="2"/>
        <w:rPr>
          <w:rFonts w:ascii="仿宋" w:hAnsi="仿宋" w:eastAsia="仿宋"/>
          <w:b/>
          <w:color w:val="000000"/>
          <w:sz w:val="32"/>
          <w:szCs w:val="32"/>
        </w:rPr>
      </w:pPr>
      <w:bookmarkStart w:id="43" w:name="_Toc15377212"/>
      <w:r>
        <w:rPr>
          <w:rFonts w:hint="eastAsia" w:ascii="仿宋" w:hAnsi="仿宋" w:eastAsia="仿宋"/>
          <w:b/>
          <w:color w:val="000000"/>
          <w:sz w:val="32"/>
          <w:szCs w:val="32"/>
        </w:rPr>
        <w:t>（三）一般公共预算财政拨款支出决算具体情况</w:t>
      </w:r>
      <w:bookmarkEnd w:id="43"/>
    </w:p>
    <w:p>
      <w:pPr>
        <w:spacing w:line="600" w:lineRule="exact"/>
        <w:ind w:firstLine="643" w:firstLineChars="200"/>
        <w:outlineLvl w:val="2"/>
        <w:rPr>
          <w:rFonts w:ascii="仿宋" w:hAnsi="仿宋" w:eastAsia="仿宋"/>
          <w:color w:val="FF0000"/>
          <w:sz w:val="32"/>
          <w:szCs w:val="32"/>
        </w:rPr>
      </w:pPr>
      <w:bookmarkStart w:id="44" w:name="_Toc15378460"/>
      <w:bookmarkStart w:id="45" w:name="_Toc15377213"/>
      <w:bookmarkStart w:id="46" w:name="_Toc15377444"/>
      <w:r>
        <w:rPr>
          <w:rFonts w:hint="eastAsia" w:ascii="仿宋" w:hAnsi="仿宋" w:eastAsia="仿宋"/>
          <w:b/>
          <w:color w:val="000000" w:themeColor="text1"/>
          <w:sz w:val="32"/>
          <w:szCs w:val="32"/>
        </w:rPr>
        <w:t>2020年一般公共预算支出决算数为775.37万元</w:t>
      </w:r>
      <w:r>
        <w:rPr>
          <w:rFonts w:hint="eastAsia" w:ascii="仿宋" w:hAnsi="仿宋" w:eastAsia="仿宋"/>
          <w:color w:val="000000" w:themeColor="text1"/>
          <w:sz w:val="32"/>
          <w:szCs w:val="32"/>
        </w:rPr>
        <w:t>，</w:t>
      </w:r>
      <w:r>
        <w:rPr>
          <w:rStyle w:val="16"/>
          <w:rFonts w:hint="eastAsia" w:ascii="仿宋" w:hAnsi="仿宋" w:eastAsia="仿宋"/>
          <w:bCs/>
          <w:color w:val="000000" w:themeColor="text1"/>
          <w:sz w:val="32"/>
          <w:szCs w:val="32"/>
        </w:rPr>
        <w:t>完成</w:t>
      </w:r>
      <w:r>
        <w:rPr>
          <w:rStyle w:val="16"/>
          <w:rFonts w:hint="eastAsia" w:ascii="仿宋" w:hAnsi="仿宋" w:eastAsia="仿宋"/>
          <w:bCs/>
          <w:color w:val="000000"/>
          <w:sz w:val="32"/>
          <w:szCs w:val="32"/>
        </w:rPr>
        <w:t>预算130.08</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。其中：</w:t>
      </w:r>
      <w:bookmarkEnd w:id="44"/>
      <w:bookmarkEnd w:id="45"/>
      <w:bookmarkEnd w:id="46"/>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一般公共服务（类）财政事务（款）行政运行（项）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支出决算为389.91万元，完成预算140.07</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，决算数大于预算数的主要原因是2019人员激励性奖励经费需要当年考核之后通过追加预算兑现。</w:t>
      </w:r>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一般公共服务（类）财政事务（款）一般行政管理事务（项）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支出决算为0.97万元，完成预算0.92</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，决算数小于预算数的主要原因是厉行节约，压减一般性支出。</w:t>
      </w:r>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一般公共服务（类）财政事务（款）财政国库业务（项）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支出决算为36.20万元，完成预算164.55</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，决算数大于预算数的主要原因是由于新招公务人员，增加经费开支。</w:t>
      </w:r>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一般公共服务（类）财政事务（款）信息化建设（项）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支出决算为0.73万元，完成预算9.13</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，决算数小于预算数的主要原因是信息维护费用减少。</w:t>
      </w:r>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一般公共服务（类）财政事务（款）财政委托业务支出（项）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支出决算为1.64万元，完成预算1.64</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，决算数小于预算数的主要原因是委托业务费按照计划数预算，具体实施与预算存在差异。</w:t>
      </w:r>
    </w:p>
    <w:p>
      <w:pPr>
        <w:numPr>
          <w:ilvl w:val="0"/>
          <w:numId w:val="3"/>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一般公共服务（类）财政事务（款）事业运行（项）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支出决算为25.62万元，完成预算155.84</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，决算数大于预算数的主要原因是2019年人员激励性奖励经费需要当年考核之后通过追加预算兑现。</w:t>
      </w:r>
    </w:p>
    <w:p>
      <w:pPr>
        <w:pStyle w:val="2"/>
        <w:spacing w:before="93"/>
        <w:ind w:firstLine="643" w:firstLineChars="200"/>
        <w:rPr>
          <w:b/>
        </w:rPr>
      </w:pPr>
      <w:r>
        <w:rPr>
          <w:rStyle w:val="16"/>
          <w:rFonts w:hint="eastAsia" w:ascii="仿宋" w:hAnsi="仿宋" w:eastAsia="仿宋"/>
          <w:bCs/>
          <w:color w:val="000000"/>
          <w:sz w:val="32"/>
          <w:szCs w:val="32"/>
        </w:rPr>
        <w:t>7</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社会保障和就业（类）行政事业单位离退休（款） 机关事业单位基本养老保险缴费支出（项）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支出决算为29.32万元，完成预算100.21</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，决算数大于预算数的主要原因是调资等匹配的基本保障支出。</w:t>
      </w:r>
    </w:p>
    <w:p>
      <w:pPr>
        <w:numPr>
          <w:ilvl w:val="0"/>
          <w:numId w:val="3"/>
        </w:num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rPr>
        <w:t>社会保障和就业（类）行政事业单位离退休（款） 机关事业单位职业年金缴费支出（项）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支出决算为21.11万元，年初未预算，主要原因为在职人员辞职一次性划转的职业年金。</w:t>
      </w:r>
    </w:p>
    <w:p>
      <w:pPr>
        <w:numPr>
          <w:ilvl w:val="0"/>
          <w:numId w:val="3"/>
        </w:num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rPr>
        <w:t>社会保障和就业（类）其他社会保障和就业支出（款）  其他社会保障和就业支出（项）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支出决算为0.28万元，完成预算100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3"/>
        </w:numPr>
        <w:spacing w:line="600" w:lineRule="exact"/>
        <w:ind w:firstLine="643" w:firstLineChars="200"/>
        <w:rPr>
          <w:rFonts w:ascii="仿宋" w:hAnsi="仿宋" w:eastAsia="仿宋"/>
          <w:b/>
          <w:color w:val="000000"/>
          <w:sz w:val="32"/>
          <w:szCs w:val="32"/>
        </w:rPr>
      </w:pPr>
      <w:r>
        <w:rPr>
          <w:rFonts w:hint="eastAsia" w:ascii="仿宋" w:hAnsi="仿宋" w:eastAsia="仿宋"/>
          <w:b/>
          <w:bCs/>
          <w:color w:val="000000" w:themeColor="text1"/>
          <w:sz w:val="32"/>
          <w:szCs w:val="32"/>
        </w:rPr>
        <w:t>卫生健康</w:t>
      </w:r>
      <w:r>
        <w:rPr>
          <w:rStyle w:val="16"/>
          <w:rFonts w:hint="eastAsia" w:ascii="仿宋" w:hAnsi="仿宋" w:eastAsia="仿宋"/>
          <w:bCs/>
          <w:color w:val="000000"/>
          <w:sz w:val="32"/>
          <w:szCs w:val="32"/>
        </w:rPr>
        <w:t>（类）行政事业单位医疗（款） 行政单位医疗（项）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支出决算为13.45万元，完成预算100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3"/>
        </w:numPr>
        <w:spacing w:line="600" w:lineRule="exact"/>
        <w:ind w:firstLine="643" w:firstLineChars="200"/>
        <w:rPr>
          <w:rStyle w:val="16"/>
          <w:rFonts w:ascii="仿宋" w:hAnsi="仿宋" w:eastAsia="仿宋"/>
          <w:color w:val="000000"/>
          <w:sz w:val="32"/>
          <w:szCs w:val="32"/>
        </w:rPr>
      </w:pPr>
      <w:r>
        <w:rPr>
          <w:rFonts w:hint="eastAsia" w:ascii="仿宋" w:hAnsi="仿宋" w:eastAsia="仿宋"/>
          <w:b/>
          <w:bCs/>
          <w:color w:val="000000" w:themeColor="text1"/>
          <w:sz w:val="32"/>
          <w:szCs w:val="32"/>
        </w:rPr>
        <w:t>卫生健康</w:t>
      </w:r>
      <w:r>
        <w:rPr>
          <w:rStyle w:val="16"/>
          <w:rFonts w:hint="eastAsia" w:ascii="仿宋" w:hAnsi="仿宋" w:eastAsia="仿宋"/>
          <w:bCs/>
          <w:color w:val="000000"/>
          <w:sz w:val="32"/>
          <w:szCs w:val="32"/>
        </w:rPr>
        <w:t>（类）行政事业单位医疗（款） 事业单位医疗（项）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支出决算为1.53万元，完成预算104.8</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，决算数大于于预算数的主要原因是调资等匹配的基本保障支出。</w:t>
      </w:r>
    </w:p>
    <w:p>
      <w:pPr>
        <w:numPr>
          <w:ilvl w:val="0"/>
          <w:numId w:val="3"/>
        </w:num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金融支出（类）金融发展支出（款）其他金融发展支出（项）：</w:t>
      </w:r>
      <w:r>
        <w:rPr>
          <w:rStyle w:val="16"/>
          <w:rFonts w:hint="eastAsia" w:ascii="仿宋" w:hAnsi="仿宋" w:eastAsia="仿宋"/>
          <w:b w:val="0"/>
          <w:bCs/>
          <w:color w:val="000000"/>
          <w:sz w:val="32"/>
          <w:szCs w:val="32"/>
        </w:rPr>
        <w:t>支出决算为39.5万元，未纳入年初预算，主要原因为根据上级资金文件，匹配本级支出，当年追加预算。</w:t>
      </w:r>
    </w:p>
    <w:p>
      <w:pPr>
        <w:pStyle w:val="2"/>
        <w:spacing w:before="93"/>
        <w:ind w:firstLine="643" w:firstLineChars="200"/>
        <w:rPr>
          <w:rFonts w:asciiTheme="majorHAnsi" w:hAnsiTheme="majorHAnsi" w:eastAsiaTheme="majorEastAsia" w:cstheme="majorBidi"/>
          <w:b/>
        </w:rPr>
      </w:pPr>
      <w:r>
        <w:rPr>
          <w:rFonts w:hint="eastAsia" w:ascii="仿宋" w:hAnsi="仿宋" w:eastAsia="仿宋"/>
          <w:b/>
          <w:color w:val="000000"/>
          <w:kern w:val="2"/>
          <w:sz w:val="32"/>
          <w:szCs w:val="32"/>
        </w:rPr>
        <w:t>1</w:t>
      </w:r>
      <w:r>
        <w:rPr>
          <w:rFonts w:ascii="仿宋" w:hAnsi="仿宋" w:eastAsia="仿宋"/>
          <w:b/>
          <w:color w:val="000000"/>
          <w:kern w:val="2"/>
          <w:sz w:val="32"/>
          <w:szCs w:val="32"/>
        </w:rPr>
        <w:t>2.</w:t>
      </w:r>
      <w:r>
        <w:rPr>
          <w:rFonts w:hint="eastAsia" w:ascii="仿宋" w:hAnsi="仿宋" w:eastAsia="仿宋"/>
          <w:b/>
          <w:color w:val="000000"/>
          <w:kern w:val="2"/>
          <w:sz w:val="32"/>
          <w:szCs w:val="32"/>
        </w:rPr>
        <w:t>住房保障支出（类）住房改革支出（款）住房公积金（项）：</w:t>
      </w:r>
      <w:r>
        <w:rPr>
          <w:rStyle w:val="16"/>
          <w:rFonts w:hint="eastAsia" w:ascii="仿宋" w:hAnsi="仿宋" w:eastAsia="仿宋"/>
          <w:b w:val="0"/>
          <w:bCs/>
          <w:color w:val="000000"/>
          <w:sz w:val="32"/>
          <w:szCs w:val="32"/>
        </w:rPr>
        <w:t>支出决算为21.92万元，完成预算99.91</w:t>
      </w:r>
      <w:r>
        <w:rPr>
          <w:rStyle w:val="16"/>
          <w:rFonts w:ascii="仿宋" w:hAnsi="仿宋" w:eastAsia="仿宋"/>
          <w:b w:val="0"/>
          <w:bCs/>
          <w:sz w:val="32"/>
          <w:szCs w:val="32"/>
        </w:rPr>
        <w:t>%</w:t>
      </w:r>
      <w:bookmarkStart w:id="47" w:name="_Toc15377214"/>
      <w:bookmarkStart w:id="48" w:name="_Toc15396608"/>
      <w:r>
        <w:rPr>
          <w:rStyle w:val="16"/>
          <w:rFonts w:hint="eastAsia" w:ascii="仿宋" w:hAnsi="仿宋" w:eastAsia="仿宋"/>
          <w:b w:val="0"/>
          <w:bCs/>
          <w:sz w:val="32"/>
          <w:szCs w:val="32"/>
        </w:rPr>
        <w:t>，</w:t>
      </w:r>
      <w:r>
        <w:rPr>
          <w:rStyle w:val="16"/>
          <w:rFonts w:hint="eastAsia" w:ascii="仿宋" w:hAnsi="仿宋" w:eastAsia="仿宋"/>
          <w:b w:val="0"/>
          <w:bCs/>
          <w:color w:val="000000"/>
          <w:sz w:val="32"/>
          <w:szCs w:val="32"/>
        </w:rPr>
        <w:t>决算数小于预算数的主要原因是测算数与实际兑现数存在差异</w:t>
      </w:r>
      <w:r>
        <w:rPr>
          <w:rFonts w:hint="eastAsia"/>
          <w:b/>
        </w:rPr>
        <w:t>。</w:t>
      </w:r>
    </w:p>
    <w:p>
      <w:pPr>
        <w:spacing w:line="600" w:lineRule="exact"/>
        <w:ind w:left="643"/>
        <w:outlineLvl w:val="1"/>
        <w:rPr>
          <w:rStyle w:val="27"/>
        </w:rPr>
      </w:pPr>
      <w:bookmarkStart w:id="49" w:name="_Toc105078715"/>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7"/>
          <w:rFonts w:hint="eastAsia" w:ascii="黑体" w:hAnsi="黑体" w:eastAsia="黑体"/>
          <w:b w:val="0"/>
        </w:rPr>
        <w:t>般公共预算财政拨款基本支出决算情况说明</w:t>
      </w:r>
      <w:bookmarkEnd w:id="47"/>
      <w:bookmarkEnd w:id="48"/>
      <w:bookmarkEnd w:id="49"/>
      <w:r>
        <w:rPr>
          <w:rStyle w:val="27"/>
          <w:rFonts w:ascii="黑体" w:hAnsi="黑体" w:eastAsia="黑体"/>
          <w:b w:val="0"/>
        </w:rPr>
        <w:tab/>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2020年一般公共预算财政拨款基本支出606.76万元，其中：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412.73万元，主要包括：基本工资、津贴补贴、奖金、绩效工资、机关事业单位基本养老保险缴费、职业年金缴费、其他社会保障缴费、其他工资福利支出、离休费、退休费、生活补助、医疗费补助、奖励金、住房公积金、其他对个人和家庭的补助支出等。</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日常公用经费194.03万元，主要包括：办公费、印刷费、咨询费、邮电费、物业管理费、差旅费、维修（护）费、培训费、劳务费、委托业务费、工会经费、其他交通费、税金及附加费用、其他商品和服务支出、办公设备购置、信息网络及软件购置更新等。</w:t>
      </w:r>
    </w:p>
    <w:p>
      <w:pPr>
        <w:spacing w:line="600" w:lineRule="exact"/>
        <w:ind w:firstLine="640"/>
        <w:outlineLvl w:val="1"/>
        <w:rPr>
          <w:rStyle w:val="27"/>
          <w:rFonts w:ascii="黑体" w:hAnsi="黑体" w:eastAsia="黑体"/>
          <w:b w:val="0"/>
        </w:rPr>
      </w:pPr>
      <w:bookmarkStart w:id="50" w:name="_Toc15377215"/>
      <w:bookmarkStart w:id="51" w:name="_Toc15396609"/>
      <w:bookmarkStart w:id="52" w:name="_Toc105078716"/>
      <w:r>
        <w:rPr>
          <w:rFonts w:hint="eastAsia" w:ascii="黑体" w:eastAsia="黑体"/>
          <w:color w:val="000000"/>
          <w:sz w:val="32"/>
          <w:szCs w:val="32"/>
        </w:rPr>
        <w:t>七、</w:t>
      </w:r>
      <w:r>
        <w:rPr>
          <w:rStyle w:val="27"/>
          <w:rFonts w:hint="eastAsia" w:ascii="黑体" w:hAnsi="黑体" w:eastAsia="黑体"/>
        </w:rPr>
        <w:t>“</w:t>
      </w:r>
      <w:r>
        <w:rPr>
          <w:rStyle w:val="27"/>
          <w:rFonts w:hint="eastAsia" w:ascii="黑体" w:hAnsi="黑体" w:eastAsia="黑体"/>
          <w:b w:val="0"/>
        </w:rPr>
        <w:t>三公”经费财政拨款支出决算情况说明</w:t>
      </w:r>
      <w:bookmarkEnd w:id="50"/>
      <w:bookmarkEnd w:id="51"/>
      <w:bookmarkEnd w:id="52"/>
    </w:p>
    <w:p>
      <w:pPr>
        <w:spacing w:line="600" w:lineRule="exact"/>
        <w:ind w:firstLine="640"/>
        <w:outlineLvl w:val="2"/>
        <w:rPr>
          <w:rFonts w:ascii="仿宋" w:hAnsi="仿宋" w:eastAsia="仿宋"/>
          <w:b/>
          <w:color w:val="000000"/>
          <w:sz w:val="32"/>
          <w:szCs w:val="32"/>
        </w:rPr>
      </w:pPr>
      <w:bookmarkStart w:id="53" w:name="_Toc15377216"/>
      <w:r>
        <w:rPr>
          <w:rFonts w:hint="eastAsia" w:ascii="仿宋" w:hAnsi="仿宋" w:eastAsia="仿宋"/>
          <w:b/>
          <w:color w:val="000000"/>
          <w:sz w:val="32"/>
          <w:szCs w:val="32"/>
        </w:rPr>
        <w:t>（一）“三公”经费财政拨款支出决算总体情况说明</w:t>
      </w:r>
      <w:bookmarkEnd w:id="53"/>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rPr>
        <w:t>20年“三公”经费财政拨款支出决算为0万元，完成预算100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54" w:name="_Toc15377217"/>
      <w:r>
        <w:rPr>
          <w:rFonts w:hint="eastAsia" w:ascii="仿宋" w:hAnsi="仿宋" w:eastAsia="仿宋"/>
          <w:b/>
          <w:color w:val="000000"/>
          <w:sz w:val="32"/>
          <w:szCs w:val="32"/>
        </w:rPr>
        <w:t>（二）“三公”经费财政拨款支出决算具体情况说明</w:t>
      </w:r>
      <w:bookmarkEnd w:id="54"/>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rPr>
        <w:t>20年“三公”经费财政拨款支出决算中，因公出国（境）费支出决算0万元；公务用车购置及运行维护费支出决算0万元；公务接待费支出决算0万元。</w:t>
      </w:r>
      <w:bookmarkStart w:id="55" w:name="_Toc15396610"/>
      <w:bookmarkStart w:id="56" w:name="_Toc15377218"/>
      <w:r>
        <w:rPr>
          <w:rFonts w:hint="eastAsia" w:ascii="仿宋" w:hAnsi="仿宋" w:eastAsia="仿宋"/>
          <w:color w:val="000000"/>
          <w:sz w:val="32"/>
          <w:szCs w:val="32"/>
        </w:rPr>
        <w:t>具体情况如下：</w:t>
      </w:r>
    </w:p>
    <w:p>
      <w:pPr>
        <w:pStyle w:val="2"/>
        <w:spacing w:before="93"/>
      </w:pPr>
      <w:r>
        <w:drawing>
          <wp:inline distT="0" distB="0" distL="0" distR="0">
            <wp:extent cx="4200525" cy="226695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ascii="仿宋" w:hAnsi="仿宋" w:eastAsia="仿宋"/>
          <w:color w:val="000000"/>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ascii="仿宋_GB2312"/>
          <w:b/>
          <w:color w:val="000000"/>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rPr>
        <w:t>0</w:t>
      </w:r>
      <w:r>
        <w:rPr>
          <w:rFonts w:hint="eastAsia" w:ascii="仿宋_GB2312" w:eastAsia="仿宋_GB2312"/>
          <w:color w:val="000000"/>
          <w:sz w:val="32"/>
          <w:szCs w:val="32"/>
        </w:rPr>
        <w:t>次，出国（境）</w:t>
      </w:r>
      <w:r>
        <w:rPr>
          <w:rFonts w:hint="eastAsia" w:ascii="仿宋_GB2312"/>
          <w:color w:val="000000"/>
          <w:sz w:val="32"/>
          <w:szCs w:val="32"/>
        </w:rPr>
        <w:t>0</w:t>
      </w:r>
      <w:r>
        <w:rPr>
          <w:rFonts w:hint="eastAsia" w:ascii="仿宋_GB2312" w:eastAsia="仿宋_GB2312"/>
          <w:color w:val="000000"/>
          <w:sz w:val="32"/>
          <w:szCs w:val="32"/>
        </w:rPr>
        <w:t>人。因公出国（境）支出决算比</w:t>
      </w:r>
      <w:r>
        <w:rPr>
          <w:rFonts w:ascii="仿宋_GB2312" w:eastAsia="仿宋_GB2312"/>
          <w:color w:val="000000"/>
          <w:sz w:val="32"/>
          <w:szCs w:val="32"/>
        </w:rPr>
        <w:t>201</w:t>
      </w:r>
      <w:r>
        <w:rPr>
          <w:rFonts w:hint="eastAsia" w:ascii="仿宋_GB2312"/>
          <w:color w:val="000000"/>
          <w:sz w:val="32"/>
          <w:szCs w:val="32"/>
        </w:rPr>
        <w:t>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0"/>
        <w:rPr>
          <w:rFonts w:ascii="仿宋_GB2312"/>
          <w:b/>
          <w:color w:val="000000"/>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3" w:firstLineChars="200"/>
        <w:rPr>
          <w:rFonts w:ascii="仿宋_GB2312"/>
          <w:color w:val="000000"/>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0"/>
        <w:rPr>
          <w:rFonts w:ascii="仿宋" w:hAnsi="仿宋" w:eastAsia="仿宋"/>
          <w:color w:val="000000"/>
          <w:sz w:val="32"/>
          <w:szCs w:val="32"/>
        </w:rPr>
      </w:pPr>
    </w:p>
    <w:p>
      <w:pPr>
        <w:spacing w:line="600" w:lineRule="exact"/>
        <w:ind w:firstLine="640"/>
        <w:outlineLvl w:val="1"/>
        <w:rPr>
          <w:rStyle w:val="27"/>
          <w:rFonts w:ascii="黑体" w:hAnsi="黑体" w:eastAsia="黑体"/>
        </w:rPr>
      </w:pPr>
      <w:bookmarkStart w:id="57" w:name="_Toc105078717"/>
      <w:r>
        <w:rPr>
          <w:rFonts w:hint="eastAsia" w:ascii="黑体" w:eastAsia="黑体"/>
          <w:color w:val="000000"/>
          <w:sz w:val="32"/>
          <w:szCs w:val="32"/>
        </w:rPr>
        <w:t>八、</w:t>
      </w:r>
      <w:r>
        <w:rPr>
          <w:rStyle w:val="27"/>
          <w:rFonts w:hint="eastAsia" w:ascii="黑体" w:hAnsi="黑体" w:eastAsia="黑体"/>
          <w:b w:val="0"/>
        </w:rPr>
        <w:t>政府性基金预算支出决算情况说明</w:t>
      </w:r>
      <w:bookmarkEnd w:id="55"/>
      <w:bookmarkEnd w:id="56"/>
      <w:bookmarkEnd w:id="5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20年政府性基金预算拨款支出0万元。</w:t>
      </w:r>
    </w:p>
    <w:p>
      <w:pPr>
        <w:numPr>
          <w:ilvl w:val="0"/>
          <w:numId w:val="4"/>
        </w:numPr>
        <w:spacing w:line="600" w:lineRule="exact"/>
        <w:ind w:firstLine="640"/>
        <w:outlineLvl w:val="1"/>
        <w:rPr>
          <w:rStyle w:val="27"/>
          <w:rFonts w:ascii="黑体" w:hAnsi="黑体" w:eastAsia="黑体"/>
          <w:b w:val="0"/>
        </w:rPr>
      </w:pPr>
      <w:bookmarkStart w:id="58" w:name="_Toc105078718"/>
      <w:bookmarkStart w:id="59" w:name="_Toc15396611"/>
      <w:bookmarkStart w:id="60" w:name="_Toc15377219"/>
      <w:r>
        <w:rPr>
          <w:rStyle w:val="27"/>
          <w:rFonts w:hint="eastAsia" w:ascii="黑体" w:hAnsi="黑体" w:eastAsia="黑体"/>
          <w:b w:val="0"/>
        </w:rPr>
        <w:t>国有资本经营预算支出决算情况说明</w:t>
      </w:r>
      <w:bookmarkEnd w:id="58"/>
      <w:bookmarkEnd w:id="59"/>
      <w:bookmarkEnd w:id="60"/>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20年国有资本经营预算拨款支出0万元。</w:t>
      </w:r>
    </w:p>
    <w:p>
      <w:pPr>
        <w:spacing w:line="600" w:lineRule="exact"/>
        <w:ind w:firstLine="640" w:firstLineChars="200"/>
        <w:outlineLvl w:val="1"/>
        <w:rPr>
          <w:rStyle w:val="27"/>
          <w:rFonts w:ascii="黑体" w:hAnsi="黑体" w:eastAsia="黑体"/>
        </w:rPr>
      </w:pPr>
      <w:bookmarkStart w:id="61" w:name="_Toc105078719"/>
      <w:bookmarkStart w:id="62" w:name="_Toc15396612"/>
      <w:bookmarkStart w:id="63" w:name="_Toc15377221"/>
      <w:r>
        <w:rPr>
          <w:rFonts w:hint="eastAsia" w:ascii="黑体" w:hAnsi="黑体" w:eastAsia="黑体"/>
          <w:color w:val="000000"/>
          <w:sz w:val="32"/>
          <w:szCs w:val="32"/>
        </w:rPr>
        <w:t>十</w:t>
      </w:r>
      <w:r>
        <w:rPr>
          <w:rStyle w:val="27"/>
          <w:rFonts w:hint="eastAsia" w:ascii="黑体" w:hAnsi="黑体" w:eastAsia="黑体"/>
        </w:rPr>
        <w:t>、</w:t>
      </w:r>
      <w:r>
        <w:rPr>
          <w:rStyle w:val="27"/>
          <w:rFonts w:hint="eastAsia" w:ascii="黑体" w:hAnsi="黑体" w:eastAsia="黑体"/>
          <w:b w:val="0"/>
        </w:rPr>
        <w:t>其他重要事项的情况说明</w:t>
      </w:r>
      <w:bookmarkEnd w:id="61"/>
      <w:bookmarkEnd w:id="62"/>
      <w:bookmarkEnd w:id="63"/>
    </w:p>
    <w:p>
      <w:pPr>
        <w:spacing w:line="600" w:lineRule="exact"/>
        <w:ind w:firstLine="643" w:firstLineChars="200"/>
        <w:outlineLvl w:val="2"/>
        <w:rPr>
          <w:rFonts w:ascii="仿宋" w:hAnsi="仿宋" w:eastAsia="仿宋"/>
          <w:color w:val="000000"/>
          <w:sz w:val="32"/>
          <w:szCs w:val="32"/>
        </w:rPr>
      </w:pPr>
      <w:bookmarkStart w:id="64" w:name="_Toc15377222"/>
      <w:r>
        <w:rPr>
          <w:rFonts w:hint="eastAsia" w:ascii="仿宋" w:hAnsi="仿宋" w:eastAsia="仿宋"/>
          <w:b/>
          <w:color w:val="000000"/>
          <w:sz w:val="32"/>
          <w:szCs w:val="32"/>
        </w:rPr>
        <w:t>（一）机关运行经费支出情况</w:t>
      </w:r>
      <w:bookmarkEnd w:id="64"/>
    </w:p>
    <w:p>
      <w:pPr>
        <w:spacing w:line="600" w:lineRule="exact"/>
        <w:ind w:firstLine="640" w:firstLineChars="200"/>
        <w:rPr>
          <w:rFonts w:ascii="仿宋_GB2312" w:eastAsia="仿宋_GB2312"/>
          <w:color w:val="000000" w:themeColor="text1"/>
          <w:sz w:val="32"/>
          <w:szCs w:val="32"/>
          <w:highlight w:val="yellow"/>
        </w:rPr>
      </w:pPr>
      <w:r>
        <w:rPr>
          <w:rFonts w:ascii="仿宋_GB2312" w:eastAsia="仿宋_GB2312"/>
          <w:color w:val="000000"/>
          <w:sz w:val="32"/>
          <w:szCs w:val="32"/>
        </w:rPr>
        <w:t>20</w:t>
      </w:r>
      <w:r>
        <w:rPr>
          <w:rFonts w:hint="eastAsia" w:ascii="仿宋_GB2312" w:eastAsia="仿宋_GB2312"/>
          <w:color w:val="000000"/>
          <w:sz w:val="32"/>
          <w:szCs w:val="32"/>
        </w:rPr>
        <w:t>20年，自流井区财政局系统机关运行经费支出323.17万元，比</w:t>
      </w:r>
      <w:r>
        <w:rPr>
          <w:rFonts w:ascii="仿宋_GB2312" w:eastAsia="仿宋_GB2312"/>
          <w:color w:val="000000"/>
          <w:sz w:val="32"/>
          <w:szCs w:val="32"/>
        </w:rPr>
        <w:t>201</w:t>
      </w:r>
      <w:r>
        <w:rPr>
          <w:rFonts w:hint="eastAsia" w:ascii="仿宋_GB2312" w:eastAsia="仿宋_GB2312"/>
          <w:color w:val="000000"/>
          <w:sz w:val="32"/>
          <w:szCs w:val="32"/>
        </w:rPr>
        <w:t>9年减少16.55万元，增长-4.87</w:t>
      </w:r>
      <w:r>
        <w:rPr>
          <w:rFonts w:ascii="仿宋_GB2312" w:eastAsia="仿宋_GB2312"/>
          <w:color w:val="000000"/>
          <w:sz w:val="32"/>
          <w:szCs w:val="32"/>
        </w:rPr>
        <w:t>%</w:t>
      </w:r>
      <w:r>
        <w:rPr>
          <w:rFonts w:hint="eastAsia" w:ascii="仿宋_GB2312" w:eastAsia="仿宋_GB2312"/>
          <w:color w:val="000000"/>
          <w:sz w:val="32"/>
          <w:szCs w:val="32"/>
        </w:rPr>
        <w:t>。</w:t>
      </w:r>
      <w:r>
        <w:rPr>
          <w:rFonts w:hint="eastAsia" w:ascii="仿宋_GB2312" w:eastAsia="仿宋_GB2312"/>
          <w:color w:val="000000" w:themeColor="text1"/>
          <w:sz w:val="32"/>
          <w:szCs w:val="32"/>
        </w:rPr>
        <w:t>主要原因是商品服务支出取数，减少原因厉行节约，压减一般性支出。</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65" w:name="_Toc15377223"/>
      <w:r>
        <w:rPr>
          <w:rFonts w:hint="eastAsia" w:ascii="仿宋" w:hAnsi="仿宋" w:eastAsia="仿宋"/>
          <w:b/>
          <w:color w:val="000000"/>
          <w:sz w:val="32"/>
          <w:szCs w:val="32"/>
        </w:rPr>
        <w:t>（二）政府采购支出情况</w:t>
      </w:r>
      <w:bookmarkEnd w:id="65"/>
    </w:p>
    <w:p>
      <w:pPr>
        <w:spacing w:line="600" w:lineRule="exact"/>
        <w:ind w:firstLine="640" w:firstLineChars="200"/>
        <w:rPr>
          <w:rFonts w:ascii="仿宋_GB2312"/>
          <w:color w:val="000000"/>
          <w:szCs w:val="32"/>
        </w:rPr>
      </w:pPr>
      <w:r>
        <w:rPr>
          <w:rFonts w:hint="eastAsia" w:ascii="仿宋_GB2312" w:eastAsia="仿宋_GB2312"/>
          <w:color w:val="000000"/>
          <w:sz w:val="32"/>
          <w:szCs w:val="32"/>
        </w:rPr>
        <w:t>2020年，自贡市自流井区财政局系统政府采购支出总额0万元。其中：政府采购货物支出</w:t>
      </w:r>
      <w:r>
        <w:rPr>
          <w:rFonts w:ascii="仿宋_GB2312" w:eastAsia="仿宋_GB2312"/>
          <w:color w:val="000000"/>
          <w:sz w:val="32"/>
          <w:szCs w:val="32"/>
        </w:rPr>
        <w:t>0</w:t>
      </w:r>
      <w:r>
        <w:rPr>
          <w:rFonts w:hint="eastAsia" w:ascii="仿宋_GB2312" w:eastAsia="仿宋_GB2312"/>
          <w:color w:val="000000"/>
          <w:sz w:val="32"/>
          <w:szCs w:val="32"/>
        </w:rPr>
        <w:t>万元、政府采购工程支出</w:t>
      </w:r>
      <w:r>
        <w:rPr>
          <w:rFonts w:ascii="仿宋_GB2312" w:eastAsia="仿宋_GB2312"/>
          <w:color w:val="000000"/>
          <w:sz w:val="32"/>
          <w:szCs w:val="32"/>
        </w:rPr>
        <w:t>0</w:t>
      </w:r>
      <w:r>
        <w:rPr>
          <w:rFonts w:hint="eastAsia" w:ascii="仿宋_GB2312" w:eastAsia="仿宋_GB2312"/>
          <w:color w:val="000000"/>
          <w:sz w:val="32"/>
          <w:szCs w:val="32"/>
        </w:rPr>
        <w:t>万元、政府采购服务支出</w:t>
      </w:r>
      <w:r>
        <w:rPr>
          <w:rFonts w:ascii="仿宋_GB2312" w:eastAsia="仿宋_GB2312"/>
          <w:color w:val="000000"/>
          <w:sz w:val="32"/>
          <w:szCs w:val="32"/>
        </w:rPr>
        <w:t>0</w:t>
      </w:r>
      <w:r>
        <w:rPr>
          <w:rFonts w:hint="eastAsia" w:ascii="仿宋_GB2312" w:eastAsia="仿宋_GB2312"/>
          <w:color w:val="000000"/>
          <w:sz w:val="32"/>
          <w:szCs w:val="32"/>
        </w:rPr>
        <w:t>万元。授予中小企业合同金额</w:t>
      </w:r>
      <w:r>
        <w:rPr>
          <w:rFonts w:ascii="仿宋_GB2312" w:eastAsia="仿宋_GB2312"/>
          <w:color w:val="000000"/>
          <w:sz w:val="32"/>
          <w:szCs w:val="32"/>
        </w:rPr>
        <w:t>0</w:t>
      </w:r>
      <w:r>
        <w:rPr>
          <w:rFonts w:hint="eastAsia" w:ascii="仿宋_GB2312" w:eastAsia="仿宋_GB2312"/>
          <w:color w:val="000000"/>
          <w:sz w:val="32"/>
          <w:szCs w:val="32"/>
        </w:rPr>
        <w:t>万元，占政府采购支出总额的</w:t>
      </w:r>
      <w:r>
        <w:rPr>
          <w:rFonts w:ascii="仿宋_GB2312" w:eastAsia="仿宋_GB2312"/>
          <w:color w:val="000000"/>
          <w:sz w:val="32"/>
          <w:szCs w:val="32"/>
        </w:rPr>
        <w:t>0%</w:t>
      </w:r>
      <w:r>
        <w:rPr>
          <w:rFonts w:hint="eastAsia" w:ascii="仿宋_GB2312" w:eastAsia="仿宋_GB2312"/>
          <w:color w:val="000000"/>
          <w:sz w:val="32"/>
          <w:szCs w:val="32"/>
        </w:rPr>
        <w:t>，其中：授予小微企业合同金额</w:t>
      </w:r>
      <w:r>
        <w:rPr>
          <w:rFonts w:ascii="仿宋_GB2312" w:eastAsia="仿宋_GB2312"/>
          <w:color w:val="000000"/>
          <w:sz w:val="32"/>
          <w:szCs w:val="32"/>
        </w:rPr>
        <w:t>0</w:t>
      </w:r>
      <w:r>
        <w:rPr>
          <w:rFonts w:hint="eastAsia" w:ascii="仿宋_GB2312" w:eastAsia="仿宋_GB2312"/>
          <w:color w:val="000000"/>
          <w:sz w:val="32"/>
          <w:szCs w:val="32"/>
        </w:rPr>
        <w:t>万元，占政府采购支出总额的</w:t>
      </w:r>
      <w:r>
        <w:rPr>
          <w:rFonts w:ascii="仿宋_GB2312" w:eastAsia="仿宋_GB2312"/>
          <w:color w:val="000000"/>
          <w:sz w:val="32"/>
          <w:szCs w:val="32"/>
        </w:rPr>
        <w:t>0%</w:t>
      </w:r>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66" w:name="_Toc15377224"/>
      <w:r>
        <w:rPr>
          <w:rFonts w:hint="eastAsia" w:ascii="仿宋" w:hAnsi="仿宋" w:eastAsia="仿宋"/>
          <w:b/>
          <w:color w:val="000000"/>
          <w:sz w:val="32"/>
          <w:szCs w:val="32"/>
        </w:rPr>
        <w:t>（三）国有资产占有使用情况</w:t>
      </w:r>
      <w:bookmarkEnd w:id="66"/>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截至2020年12月31日，自流井区财政局共有车辆0辆。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eastAsia="仿宋_GB2312" w:cs="仿宋_GB2312"/>
          <w:sz w:val="32"/>
          <w:szCs w:val="32"/>
        </w:rPr>
        <w:t>根据预算绩效管理要求，本部门在年初预算编制阶段，组织对财政预算改革、金财网维护租赁、电子票据系统建设委托业务费、金融、国资和预算等系统维护、收入征管、财政专业培训教育项目经费、国库收付管理运行项目开展了预算事前绩效评估，对5个项目编制了绩效目标，预算执行过程中，选取</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个项目开展绩效监控，年终执行完毕后，对</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2020年我局部门整体支出绩效评价自评结果较好，全年基本支出保证了部门的正常运行和日常工作的正常开展，项目支出保障了重点工作的开展，绩效目标得到较好实现，绩效管理水平不断提高，绩效指标体系逐渐丰富和完善。本部门未组织开展项目支出绩效评价。</w:t>
      </w:r>
    </w:p>
    <w:p>
      <w:pPr>
        <w:numPr>
          <w:ilvl w:val="0"/>
          <w:numId w:val="5"/>
        </w:num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项目绩效目标完成情况。</w:t>
      </w:r>
    </w:p>
    <w:p>
      <w:pPr>
        <w:pStyle w:val="2"/>
        <w:spacing w:before="93"/>
        <w:ind w:firstLine="640" w:firstLineChars="200"/>
        <w:rPr>
          <w:rFonts w:hAnsi="仿宋_GB2312" w:cs="仿宋_GB2312"/>
          <w:kern w:val="2"/>
          <w:sz w:val="32"/>
          <w:szCs w:val="32"/>
        </w:rPr>
      </w:pPr>
      <w:r>
        <w:rPr>
          <w:rFonts w:hint="eastAsia" w:hAnsi="仿宋_GB2312" w:cs="仿宋_GB2312"/>
          <w:kern w:val="2"/>
          <w:sz w:val="32"/>
          <w:szCs w:val="32"/>
        </w:rPr>
        <w:t>本部门在2020年度部门决算中反映“</w:t>
      </w:r>
      <w:r>
        <w:rPr>
          <w:rFonts w:hint="eastAsia" w:hAnsi="仿宋_GB2312" w:cs="仿宋_GB2312"/>
          <w:sz w:val="32"/>
          <w:szCs w:val="32"/>
        </w:rPr>
        <w:t>财政预算改革、金财网维护租赁项目</w:t>
      </w:r>
      <w:r>
        <w:rPr>
          <w:rFonts w:hint="eastAsia" w:hAnsi="仿宋_GB2312" w:cs="仿宋_GB2312"/>
          <w:kern w:val="2"/>
          <w:sz w:val="32"/>
          <w:szCs w:val="32"/>
        </w:rPr>
        <w:t>”等</w:t>
      </w:r>
      <w:r>
        <w:rPr>
          <w:rFonts w:hAnsi="仿宋_GB2312" w:cs="仿宋_GB2312"/>
          <w:kern w:val="2"/>
          <w:sz w:val="32"/>
          <w:szCs w:val="32"/>
        </w:rPr>
        <w:t>5</w:t>
      </w:r>
      <w:r>
        <w:rPr>
          <w:rFonts w:hint="eastAsia" w:hAnsi="仿宋_GB2312" w:cs="仿宋_GB2312"/>
          <w:kern w:val="2"/>
          <w:sz w:val="32"/>
          <w:szCs w:val="32"/>
        </w:rPr>
        <w:t>个项目绩效目标实际完成情况。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）财政预算改革、金财网维护租赁项目绩效目标完成情况综述。项目全年预算40万元，执行数为</w:t>
      </w:r>
      <w:r>
        <w:rPr>
          <w:rFonts w:hint="eastAsia" w:ascii="仿宋_GB2312" w:hAnsi="仿宋_GB2312" w:cs="仿宋_GB2312"/>
          <w:sz w:val="32"/>
          <w:szCs w:val="32"/>
        </w:rPr>
        <w:t>40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）金融、国资和预算等系统维护项目绩效目标完成情况综述。项目全年预算</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万元，执行数为</w:t>
      </w:r>
      <w:r>
        <w:rPr>
          <w:rFonts w:ascii="仿宋_GB2312" w:hAnsi="仿宋_GB2312" w:cs="仿宋_GB2312"/>
          <w:sz w:val="32"/>
          <w:szCs w:val="32"/>
        </w:rPr>
        <w:t>20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）财政专业培训教育项目经费项目绩效目标完成情况综述。项目全年预算</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万元，执行数为</w:t>
      </w:r>
      <w:r>
        <w:rPr>
          <w:rFonts w:ascii="仿宋_GB2312" w:hAnsi="仿宋_GB2312" w:cs="仿宋_GB2312"/>
          <w:sz w:val="32"/>
          <w:szCs w:val="32"/>
        </w:rPr>
        <w:t>3</w:t>
      </w:r>
      <w:r>
        <w:rPr>
          <w:rFonts w:hint="eastAsia" w:ascii="仿宋_GB2312" w:hAnsi="仿宋_GB2312" w:cs="仿宋_GB2312"/>
          <w:sz w:val="32"/>
          <w:szCs w:val="32"/>
        </w:rPr>
        <w:t>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）电子票据系统建设委托业务费项目绩效目标完成情况综述。项目全年预算</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万元，执行数为</w:t>
      </w:r>
      <w:r>
        <w:rPr>
          <w:rFonts w:ascii="仿宋_GB2312" w:hAnsi="仿宋_GB2312" w:cs="仿宋_GB2312"/>
          <w:sz w:val="32"/>
          <w:szCs w:val="32"/>
        </w:rPr>
        <w:t>15</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pStyle w:val="2"/>
        <w:spacing w:before="93"/>
        <w:ind w:firstLine="640" w:firstLineChars="200"/>
        <w:rPr>
          <w:rFonts w:hAnsi="仿宋_GB2312" w:cs="仿宋_GB2312"/>
          <w:kern w:val="2"/>
          <w:sz w:val="32"/>
          <w:szCs w:val="32"/>
        </w:rPr>
      </w:pPr>
      <w:r>
        <w:rPr>
          <w:rFonts w:hint="eastAsia" w:hAnsi="仿宋_GB2312" w:cs="仿宋_GB2312"/>
          <w:kern w:val="2"/>
          <w:sz w:val="32"/>
          <w:szCs w:val="32"/>
          <w:highlight w:val="none"/>
        </w:rPr>
        <w:t>（5）国库</w:t>
      </w:r>
      <w:r>
        <w:rPr>
          <w:rFonts w:hint="eastAsia" w:hAnsi="仿宋_GB2312" w:cs="仿宋_GB2312"/>
          <w:kern w:val="2"/>
          <w:sz w:val="32"/>
          <w:szCs w:val="32"/>
        </w:rPr>
        <w:t xml:space="preserve">收付管理运行项目绩效目标完成情况综述。项目全年预算数10万元，执行数为10万元，完成预算的100%。通过项目实施，保障提高了效率，加快了资金支付。   </w:t>
      </w:r>
    </w:p>
    <w:tbl>
      <w:tblPr>
        <w:tblStyle w:val="14"/>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财政预算改革、金财网维护租赁</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确保预算系统、金财网络系统当年正常运行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确保财政支付程序正常运转</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预算系统升级维护全年次数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金财网络定期系统升级维护全年次数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》12</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金财网络支持财政资金支付时效率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确保财政资金安全、及时支付效率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全区各使用部门满意度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》98%</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》98%</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lang w:bidi="ar"/>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金融、国资和预算等系统维护</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2</w:t>
            </w:r>
            <w:r>
              <w:rPr>
                <w:rFonts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维护财政国有资产管理系统、债务管理系统全年正常运行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确保财政国有资产管理系统、债务管理系统正常运转</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降低财政管理系统故障率，提高资金管理使用效率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r>
              <w:rPr>
                <w:rFonts w:ascii="宋体" w:cs="宋体"/>
                <w:color w:val="000000"/>
                <w:sz w:val="24"/>
              </w:rPr>
              <w:t>00</w:t>
            </w:r>
            <w:r>
              <w:rPr>
                <w:rFonts w:hint="eastAsia" w:ascii="宋体" w:cs="宋体"/>
                <w:color w:val="000000"/>
                <w:sz w:val="24"/>
              </w:rPr>
              <w:t>%</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财政管理系统监管效率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96</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96</w:t>
            </w:r>
            <w:r>
              <w:rPr>
                <w:rFonts w:hint="eastAsia" w:ascii="宋体"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财政相关技术人员使用满意度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w:t>
            </w:r>
            <w:r>
              <w:rPr>
                <w:rFonts w:ascii="宋体" w:eastAsia="仿宋_GB2312" w:cs="宋体"/>
                <w:color w:val="000000"/>
                <w:sz w:val="24"/>
              </w:rPr>
              <w:t>8</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w:t>
            </w:r>
            <w:r>
              <w:rPr>
                <w:rFonts w:ascii="宋体" w:eastAsia="仿宋_GB2312" w:cs="宋体"/>
                <w:color w:val="000000"/>
                <w:sz w:val="24"/>
              </w:rPr>
              <w:t>8</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textAlignment w:val="center"/>
              <w:rPr>
                <w:rFonts w:hint="eastAsia" w:ascii="宋体" w:hAnsi="宋体" w:cs="宋体"/>
                <w:b/>
                <w:bCs/>
                <w:color w:val="000000"/>
                <w:kern w:val="0"/>
                <w:sz w:val="36"/>
                <w:szCs w:val="36"/>
                <w:lang w:bidi="ar"/>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财政专业培训教育项目经费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当年组织税收征管培训交流4次、财政专业培训不少于2次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hint="eastAsia" w:ascii="宋体" w:eastAsia="仿宋_GB2312" w:cs="宋体"/>
                <w:color w:val="000000"/>
                <w:sz w:val="24"/>
              </w:rPr>
            </w:pPr>
            <w:r>
              <w:rPr>
                <w:rFonts w:hint="eastAsia" w:ascii="宋体" w:cs="宋体"/>
                <w:color w:val="000000"/>
                <w:sz w:val="24"/>
              </w:rPr>
              <w:t>完成当年组织税收征管培训交流与财政专业培训</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当年组织税收征管培训交流</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w:t>
            </w:r>
            <w:r>
              <w:rPr>
                <w:rFonts w:ascii="宋体" w:eastAsia="仿宋_GB2312" w:cs="宋体"/>
                <w:color w:val="000000"/>
                <w:sz w:val="24"/>
              </w:rPr>
              <w:t>4</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4</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财政专业培训</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》2</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提升局内人员财政业务能力，强化税收征管工作效率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服务人员满意度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cs="宋体"/>
                <w:color w:val="000000"/>
                <w:sz w:val="24"/>
              </w:rPr>
              <w:t>98</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cs="宋体"/>
                <w:color w:val="000000"/>
                <w:sz w:val="24"/>
              </w:rPr>
              <w:t>98</w:t>
            </w:r>
            <w:r>
              <w:rPr>
                <w:rFonts w:hint="eastAsia" w:ascii="宋体" w:cs="宋体"/>
                <w:color w:val="00000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电子票据系统建设委托业务费项目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票据管理的电子化升级，提高票据管理效率，使用方便快捷</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提高票据管理效率，使用方便快捷</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改变传统纸质票据，提高票据管理效率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r>
              <w:rPr>
                <w:rFonts w:ascii="宋体" w:cs="宋体"/>
                <w:color w:val="000000"/>
                <w:sz w:val="24"/>
              </w:rPr>
              <w:t>00</w:t>
            </w:r>
            <w:r>
              <w:rPr>
                <w:rFonts w:hint="eastAsia" w:ascii="宋体" w:cs="宋体"/>
                <w:color w:val="000000"/>
                <w:sz w:val="24"/>
              </w:rPr>
              <w:t>%</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方便票据使用，操作程序简单、高效</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生态指标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节约纸张，符合节能、环保条件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全区各部门使用满意度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98</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98</w:t>
            </w:r>
            <w:r>
              <w:rPr>
                <w:rFonts w:hint="eastAsia" w:ascii="宋体" w:cs="宋体"/>
                <w:color w:val="000000"/>
                <w:sz w:val="24"/>
              </w:rPr>
              <w:t>%</w:t>
            </w:r>
          </w:p>
        </w:tc>
      </w:tr>
    </w:tbl>
    <w:p>
      <w:pPr>
        <w:pStyle w:val="2"/>
        <w:spacing w:before="93"/>
        <w:ind w:firstLine="640" w:firstLineChars="200"/>
        <w:rPr>
          <w:rFonts w:hAnsi="仿宋_GB2312" w:cs="仿宋_GB2312"/>
          <w:kern w:val="2"/>
          <w:sz w:val="32"/>
          <w:szCs w:val="32"/>
        </w:rPr>
      </w:pPr>
      <w:r>
        <w:rPr>
          <w:rFonts w:hint="eastAsia" w:hAnsi="仿宋_GB2312" w:cs="仿宋_GB2312"/>
          <w:kern w:val="2"/>
          <w:sz w:val="32"/>
          <w:szCs w:val="32"/>
        </w:rPr>
        <w:t xml:space="preserve"> </w:t>
      </w:r>
    </w:p>
    <w:tbl>
      <w:tblPr>
        <w:tblStyle w:val="14"/>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b/>
                <w:bCs/>
                <w:color w:val="000000"/>
                <w:kern w:val="0"/>
                <w:sz w:val="36"/>
                <w:szCs w:val="36"/>
                <w:lang w:bidi="ar"/>
              </w:rPr>
            </w:pPr>
            <w:r>
              <w:rPr>
                <w:b/>
                <w:bCs/>
                <w:color w:val="000000"/>
                <w:kern w:val="0"/>
                <w:sz w:val="36"/>
                <w:szCs w:val="36"/>
                <w:lang w:bidi="ar"/>
              </w:rPr>
              <w:t>项目绩效目标完成情况表</w:t>
            </w:r>
          </w:p>
          <w:p>
            <w:pPr>
              <w:widowControl/>
              <w:jc w:val="center"/>
              <w:textAlignment w:val="center"/>
              <w:rPr>
                <w:color w:val="000000"/>
                <w:sz w:val="36"/>
                <w:szCs w:val="36"/>
              </w:rPr>
            </w:pPr>
            <w:r>
              <w:rPr>
                <w:color w:val="000000"/>
                <w:kern w:val="0"/>
                <w:sz w:val="36"/>
                <w:szCs w:val="36"/>
                <w:lang w:bidi="ar"/>
              </w:rPr>
              <w:t>(2020年度)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国库收付管理运行</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自贡市自流井区财政国库集中支付中心</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解决资金层层拨付、环节过多效率低下的问题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加快拨付速度，提高资金的适应效率和运行效率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区本级预算单位使用国库收付的覆盖率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使用者对国库收付软件的适应率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服务对象的满意度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94%</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kern w:val="0"/>
                <w:sz w:val="24"/>
                <w:lang w:bidi="ar"/>
              </w:rPr>
            </w:pPr>
            <w:r>
              <w:rPr>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打印直接支付的笔数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大于1500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大于1500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持续指标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长期</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仿宋_GB2312"/>
                <w:color w:val="000000"/>
                <w:sz w:val="24"/>
              </w:rPr>
            </w:pPr>
            <w:r>
              <w:rPr>
                <w:color w:val="000000"/>
                <w:sz w:val="24"/>
              </w:rPr>
              <w:t>长期</w:t>
            </w:r>
          </w:p>
        </w:tc>
      </w:tr>
    </w:tbl>
    <w:p>
      <w:pPr>
        <w:pStyle w:val="2"/>
        <w:spacing w:before="93"/>
        <w:rPr>
          <w:rFonts w:hAnsi="仿宋_GB2312" w:cs="仿宋_GB2312"/>
          <w:kern w:val="2"/>
          <w:sz w:val="32"/>
          <w:szCs w:val="32"/>
        </w:rPr>
      </w:pPr>
    </w:p>
    <w:p>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2.部门绩效评价结果。</w:t>
      </w:r>
    </w:p>
    <w:p>
      <w:pPr>
        <w:spacing w:line="580" w:lineRule="exact"/>
        <w:ind w:firstLine="640" w:firstLineChars="200"/>
        <w:rPr>
          <w:rFonts w:ascii="仿宋_GB2312" w:hAnsi="仿宋_GB2312" w:cs="仿宋_GB231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年部门整体支出绩效评价情况开展自评，《自贡市自流井区财政局部门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年部门整体支出绩效评价报告》见附件（附件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本部门自行组织对财政预算改革、金财网维护租赁项目；金融、国资和预算等系统维护项目；财政专业培训教育经费项目；电子票据系统建设委托业务费项目</w:t>
      </w:r>
      <w:r>
        <w:rPr>
          <w:rFonts w:hint="eastAsia" w:ascii="仿宋_GB2312" w:hAnsi="仿宋_GB2312" w:eastAsia="仿宋_GB2312" w:cs="仿宋_GB2312"/>
          <w:sz w:val="32"/>
          <w:szCs w:val="32"/>
          <w:lang w:eastAsia="zh-CN"/>
        </w:rPr>
        <w:t>；国库收付管理运行项目</w:t>
      </w:r>
      <w:r>
        <w:rPr>
          <w:rFonts w:hint="eastAsia" w:ascii="仿宋_GB2312" w:hAnsi="仿宋_GB2312" w:eastAsia="仿宋_GB2312" w:cs="仿宋_GB2312"/>
          <w:sz w:val="32"/>
          <w:szCs w:val="32"/>
        </w:rPr>
        <w:t>开展了绩效评价，《财政预算改革、金财网维护租赁项目2020年绩效评价报告》、《国资和预算等系统维护项目2020年绩效评价报告》、《财政专业培训教育经费项目2020年绩效评价报告》、《电子票据系统建设委托业务费项目2020年绩效评价报告》</w:t>
      </w:r>
      <w:r>
        <w:rPr>
          <w:rFonts w:hint="eastAsia" w:ascii="仿宋_GB2312" w:hAnsi="仿宋_GB2312" w:eastAsia="仿宋_GB2312" w:cs="仿宋_GB2312"/>
          <w:sz w:val="32"/>
          <w:szCs w:val="32"/>
          <w:lang w:eastAsia="zh-CN"/>
        </w:rPr>
        <w:t>、《国库收付管理运行项目2020年绩效评价报告》</w:t>
      </w:r>
      <w:r>
        <w:rPr>
          <w:rFonts w:hint="eastAsia" w:ascii="仿宋_GB2312" w:hAnsi="仿宋_GB2312" w:eastAsia="仿宋_GB2312" w:cs="仿宋_GB2312"/>
          <w:sz w:val="32"/>
          <w:szCs w:val="32"/>
        </w:rPr>
        <w:t>见附件（附件2）。</w:t>
      </w:r>
    </w:p>
    <w:p>
      <w:pPr>
        <w:pStyle w:val="2"/>
        <w:spacing w:before="93"/>
        <w:rPr>
          <w:rFonts w:hint="eastAsia"/>
        </w:rPr>
      </w:pPr>
    </w:p>
    <w:p>
      <w:pPr>
        <w:pStyle w:val="2"/>
        <w:spacing w:before="93"/>
        <w:rPr>
          <w:rFonts w:hint="eastAsia"/>
        </w:rPr>
      </w:pPr>
    </w:p>
    <w:p>
      <w:pPr>
        <w:numPr>
          <w:ilvl w:val="0"/>
          <w:numId w:val="6"/>
        </w:numPr>
        <w:spacing w:line="600" w:lineRule="exact"/>
        <w:ind w:firstLine="660" w:firstLineChars="150"/>
        <w:jc w:val="center"/>
        <w:outlineLvl w:val="0"/>
        <w:rPr>
          <w:rFonts w:ascii="黑体" w:hAnsi="黑体" w:eastAsia="黑体"/>
          <w:bCs/>
          <w:kern w:val="44"/>
          <w:sz w:val="44"/>
          <w:szCs w:val="44"/>
        </w:rPr>
      </w:pPr>
      <w:bookmarkStart w:id="67" w:name="_Toc15396613"/>
      <w:bookmarkStart w:id="68" w:name="_Toc15377225"/>
      <w:bookmarkStart w:id="69" w:name="_Toc105078720"/>
      <w:r>
        <w:rPr>
          <w:rFonts w:hint="eastAsia" w:ascii="黑体" w:hAnsi="黑体" w:eastAsia="黑体"/>
          <w:color w:val="000000"/>
          <w:sz w:val="44"/>
          <w:szCs w:val="44"/>
        </w:rPr>
        <w:t>名</w:t>
      </w:r>
      <w:r>
        <w:rPr>
          <w:rStyle w:val="26"/>
          <w:rFonts w:hint="eastAsia" w:ascii="黑体" w:hAnsi="黑体" w:eastAsia="黑体"/>
          <w:b w:val="0"/>
        </w:rPr>
        <w:t>词解释</w:t>
      </w:r>
      <w:bookmarkEnd w:id="67"/>
      <w:bookmarkEnd w:id="68"/>
      <w:bookmarkEnd w:id="69"/>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1.一般公共预算拨款收入：指区级财政当年拨付的资金。</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2.事业收入：指事业单位开展专业业务活动及辅助活动所取得的收入。</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3.上年结转：指以前年度尚未完成，结转到本年仍按原规定用途继续使用的资金。</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 xml:space="preserve"> 一般公共服务（类）财政事务（款）行政运行（项）。反映财政事务方面行政单位（包括实行公务员管理的事业单位）的基本支出。</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5.一般公共服务（类）财政事务（款）一般行政管理事务（项）。反映财政事务方面行政单位（包括实行公务员管理的事业单位）未单独设置项级科目的其他项目支出。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6.一般公共服务（类）财政事务（款）财政国库业务（项）。反映财政部门用于财政国库集中收付业务方面的支出。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7.一般公共服务（类）财政事务（款）信息化建设（项）。反映财政部门用于信息化建设方面的支出。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8.一般公共服务（类）财政事务（款）财政委托业务支出（项）。反映财政委托评审机构进行财政投资评审和委托建设银行等机构代理业务发生的支出。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9.一般公共服务（类）财政事务（款）事业运行（项）。反映事业单位的基本支出，不包括行政单位（包括实行公务员管理的事业单位）后勤服务中心、医务室等附属事业单位。</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10.社会保障和就业（类）行政事业单位离退休（款） 机关事业单位基本养老保险缴费支出（项）。反映机关事业单位实施养老保险制度由单位缴纳的基本养老保险费支出。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11.社会保障和就业（类）行政事业单位离退休（款） 机关事业单位职业年金缴费支出（项）。反映机关事业单位实施养老保险制度由单位实际缴纳的职业年金支出。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12.社会保障和就业（类）其他社会保障和就业支出（款）  其他社会保障和就业支出（项）。反映除上述项目以外其他用于社会保障和就业方面的支出。</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13.卫生健康（类）行政事业单位医疗（款） 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14.卫生健康（类）行政事业单位医疗（款） 事业单位医疗（项）。反映财政部门安排的事业单位基本医疗保险缴费经费，未参加医疗保险的事业单位的公费医疗经费，按国家规定享受离休人员待遇的医疗经费。</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15.金融支出（类）金融发展支出（款）其他金融发展支出（项）。</w:t>
      </w:r>
    </w:p>
    <w:p>
      <w:pPr>
        <w:tabs>
          <w:tab w:val="left" w:pos="312"/>
        </w:tabs>
        <w:spacing w:line="600" w:lineRule="exact"/>
        <w:ind w:firstLine="627" w:firstLineChars="196"/>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rPr>
        <w:t>16.住房保障支出（类）住房改革支出（款）住房公积金（项）。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17.基本支出：指为保障机构正常运转、完成日常工作任务而发生的人员支出和公用支出。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18.项目支出：指在基本支出之外为完成特定行政任务和事业发展目标所发生的支出。</w:t>
      </w:r>
      <w:r>
        <w:rPr>
          <w:rFonts w:ascii="仿宋_GB2312" w:eastAsia="仿宋_GB2312"/>
          <w:color w:val="000000"/>
          <w:sz w:val="32"/>
          <w:szCs w:val="32"/>
        </w:rPr>
        <w:t xml:space="preserve"> </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黑体" w:hAnsi="黑体" w:eastAsia="黑体"/>
          <w:color w:val="000000"/>
          <w:sz w:val="44"/>
          <w:szCs w:val="44"/>
        </w:rPr>
      </w:pPr>
      <w:bookmarkStart w:id="70" w:name="_Toc15396614"/>
      <w:bookmarkStart w:id="71" w:name="_Toc15377226"/>
    </w:p>
    <w:p>
      <w:pPr>
        <w:spacing w:line="600" w:lineRule="exact"/>
        <w:jc w:val="center"/>
        <w:outlineLvl w:val="0"/>
        <w:rPr>
          <w:rFonts w:ascii="黑体" w:hAnsi="黑体" w:eastAsia="黑体"/>
          <w:color w:val="000000"/>
          <w:sz w:val="44"/>
          <w:szCs w:val="44"/>
        </w:rPr>
      </w:pPr>
    </w:p>
    <w:p>
      <w:pPr>
        <w:pStyle w:val="2"/>
        <w:rPr>
          <w:rFonts w:ascii="黑体" w:hAnsi="黑体" w:eastAsia="黑体"/>
          <w:color w:val="000000"/>
          <w:sz w:val="44"/>
          <w:szCs w:val="44"/>
        </w:rPr>
      </w:pPr>
    </w:p>
    <w:p>
      <w:pPr>
        <w:pStyle w:val="2"/>
        <w:spacing w:before="93"/>
        <w:rPr>
          <w:rFonts w:hint="eastAsia"/>
        </w:rPr>
      </w:pPr>
    </w:p>
    <w:p>
      <w:pPr>
        <w:spacing w:line="600" w:lineRule="exact"/>
        <w:jc w:val="center"/>
        <w:outlineLvl w:val="0"/>
        <w:rPr>
          <w:rStyle w:val="26"/>
          <w:rFonts w:ascii="黑体" w:hAnsi="黑体" w:eastAsia="黑体"/>
          <w:b w:val="0"/>
        </w:rPr>
      </w:pPr>
      <w:bookmarkStart w:id="72" w:name="_Toc105078721"/>
      <w:r>
        <w:rPr>
          <w:rFonts w:hint="eastAsia" w:ascii="黑体" w:hAnsi="黑体" w:eastAsia="黑体"/>
          <w:color w:val="000000"/>
          <w:sz w:val="44"/>
          <w:szCs w:val="44"/>
        </w:rPr>
        <w:t>第</w:t>
      </w:r>
      <w:r>
        <w:rPr>
          <w:rStyle w:val="26"/>
          <w:rFonts w:hint="eastAsia" w:ascii="黑体" w:hAnsi="黑体" w:eastAsia="黑体"/>
          <w:b w:val="0"/>
        </w:rPr>
        <w:t>四部分 附件</w:t>
      </w:r>
      <w:bookmarkEnd w:id="70"/>
      <w:bookmarkEnd w:id="72"/>
    </w:p>
    <w:p>
      <w:pPr>
        <w:spacing w:line="600" w:lineRule="exact"/>
        <w:jc w:val="left"/>
        <w:outlineLvl w:val="1"/>
        <w:rPr>
          <w:rFonts w:eastAsia="方正小标宋简体"/>
          <w:sz w:val="32"/>
          <w:szCs w:val="32"/>
        </w:rPr>
      </w:pPr>
      <w:bookmarkStart w:id="73" w:name="_Toc105078722"/>
      <w:r>
        <w:rPr>
          <w:rFonts w:eastAsia="黑体"/>
          <w:sz w:val="32"/>
          <w:szCs w:val="32"/>
        </w:rPr>
        <w:t>附件1</w:t>
      </w:r>
      <w:bookmarkEnd w:id="73"/>
    </w:p>
    <w:p>
      <w:pPr>
        <w:spacing w:line="580" w:lineRule="exact"/>
        <w:jc w:val="center"/>
        <w:rPr>
          <w:rFonts w:eastAsia="方正小标宋简体"/>
          <w:sz w:val="44"/>
          <w:szCs w:val="44"/>
        </w:rPr>
      </w:pPr>
    </w:p>
    <w:p>
      <w:pPr>
        <w:spacing w:line="600" w:lineRule="exact"/>
        <w:jc w:val="center"/>
        <w:rPr>
          <w:rFonts w:eastAsia="方正小标宋简体"/>
          <w:color w:val="000000"/>
          <w:kern w:val="0"/>
          <w:sz w:val="40"/>
          <w:szCs w:val="44"/>
        </w:rPr>
      </w:pPr>
      <w:r>
        <w:rPr>
          <w:rFonts w:hint="eastAsia" w:eastAsia="方正小标宋简体"/>
          <w:color w:val="000000"/>
          <w:kern w:val="0"/>
          <w:sz w:val="40"/>
          <w:szCs w:val="44"/>
        </w:rPr>
        <w:t>自贡市自流井区财政局</w:t>
      </w:r>
    </w:p>
    <w:p>
      <w:pPr>
        <w:spacing w:line="600" w:lineRule="exact"/>
        <w:jc w:val="center"/>
        <w:rPr>
          <w:rFonts w:eastAsia="方正小标宋简体"/>
          <w:color w:val="000000"/>
          <w:kern w:val="0"/>
          <w:sz w:val="40"/>
          <w:szCs w:val="44"/>
          <w:highlight w:val="yellow"/>
          <w:lang w:val="zh-CN"/>
        </w:rPr>
      </w:pPr>
      <w:r>
        <w:rPr>
          <w:rFonts w:eastAsia="方正小标宋简体"/>
          <w:color w:val="000000"/>
          <w:kern w:val="0"/>
          <w:sz w:val="40"/>
          <w:szCs w:val="44"/>
        </w:rPr>
        <w:t>2020年</w:t>
      </w:r>
      <w:r>
        <w:rPr>
          <w:rFonts w:hint="eastAsia" w:eastAsia="方正小标宋简体"/>
          <w:color w:val="000000"/>
          <w:kern w:val="0"/>
          <w:sz w:val="40"/>
          <w:szCs w:val="44"/>
        </w:rPr>
        <w:t>度</w:t>
      </w:r>
      <w:r>
        <w:rPr>
          <w:rFonts w:eastAsia="方正小标宋简体"/>
          <w:color w:val="000000"/>
          <w:kern w:val="0"/>
          <w:sz w:val="40"/>
          <w:szCs w:val="44"/>
        </w:rPr>
        <w:t>部门</w:t>
      </w:r>
      <w:r>
        <w:rPr>
          <w:rFonts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eastAsia="仿宋_GB2312"/>
          <w:sz w:val="32"/>
          <w:szCs w:val="32"/>
          <w:highlight w:val="yellow"/>
          <w:shd w:val="clear" w:color="auto" w:fill="FFFFFF"/>
        </w:rPr>
      </w:pPr>
      <w:r>
        <w:rPr>
          <w:rFonts w:eastAsia="仿宋_GB2312"/>
          <w:sz w:val="32"/>
          <w:szCs w:val="32"/>
          <w:shd w:val="clear" w:color="auto" w:fill="FFFFFF"/>
        </w:rPr>
        <w:t>（报告范围包括机关和下属单位）</w:t>
      </w:r>
    </w:p>
    <w:p>
      <w:pPr>
        <w:widowControl/>
        <w:adjustRightInd w:val="0"/>
        <w:snapToGrid w:val="0"/>
        <w:spacing w:line="580" w:lineRule="exact"/>
        <w:ind w:firstLine="640" w:firstLineChars="200"/>
        <w:contextualSpacing/>
        <w:jc w:val="left"/>
        <w:rPr>
          <w:rFonts w:eastAsia="黑体"/>
          <w:color w:val="000000"/>
          <w:kern w:val="0"/>
          <w:sz w:val="32"/>
          <w:szCs w:val="32"/>
          <w:highlight w:val="yellow"/>
          <w:shd w:val="clear" w:color="auto" w:fill="FFFFFF"/>
          <w:lang w:val="zh-CN"/>
        </w:rPr>
      </w:pPr>
      <w:r>
        <w:rPr>
          <w:rFonts w:eastAsia="黑体"/>
          <w:color w:val="000000"/>
          <w:kern w:val="0"/>
          <w:sz w:val="32"/>
          <w:szCs w:val="32"/>
          <w:shd w:val="clear" w:color="auto" w:fill="FFFFFF"/>
        </w:rPr>
        <w:t>一、</w:t>
      </w:r>
      <w:r>
        <w:rPr>
          <w:rFonts w:eastAsia="黑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（一）机构组成。</w:t>
      </w:r>
    </w:p>
    <w:p>
      <w:pPr>
        <w:ind w:firstLine="640" w:firstLineChars="200"/>
        <w:rPr>
          <w:rFonts w:eastAsia="仿宋_GB2312"/>
        </w:rPr>
      </w:pPr>
      <w:r>
        <w:rPr>
          <w:rFonts w:hint="eastAsia"/>
          <w:color w:val="000000"/>
          <w:kern w:val="0"/>
          <w:sz w:val="32"/>
          <w:szCs w:val="32"/>
          <w:shd w:val="clear" w:color="auto" w:fill="FFFFFF"/>
        </w:rPr>
        <w:t xml:space="preserve"> </w:t>
      </w:r>
      <w:r>
        <w:rPr>
          <w:rFonts w:hint="eastAsia" w:ascii="仿宋_GB2312" w:eastAsia="仿宋_GB2312"/>
          <w:sz w:val="32"/>
          <w:szCs w:val="32"/>
        </w:rPr>
        <w:t>自流井区财政局下属二级预算单位3个，其中：行政单位:0个，参照公务员法管理的事业单位2个，其他事业单位1个。主要包括：区财政局国库支付中心、区收费票据监管中心、区财政局评审中心。</w:t>
      </w:r>
    </w:p>
    <w:p>
      <w:pPr>
        <w:widowControl/>
        <w:numPr>
          <w:ilvl w:val="0"/>
          <w:numId w:val="7"/>
        </w:numPr>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机构职能。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rPr>
        <w:t>2. 贯彻执行国家财税方面的法律、法规和方针、政策，负责组织起草地方性财税法规草案、实施办法和规章制度并组织实施。按照管理权限管理全区税政事项。</w:t>
      </w:r>
    </w:p>
    <w:p>
      <w:pPr>
        <w:pStyle w:val="2"/>
        <w:adjustRightInd w:val="0"/>
        <w:snapToGrid w:val="0"/>
        <w:spacing w:before="93" w:line="580" w:lineRule="exact"/>
        <w:ind w:firstLine="640" w:firstLineChars="200"/>
        <w:rPr>
          <w:sz w:val="32"/>
          <w:szCs w:val="32"/>
        </w:rPr>
      </w:pPr>
      <w:r>
        <w:rPr>
          <w:rFonts w:hint="eastAsia"/>
          <w:sz w:val="32"/>
          <w:szCs w:val="32"/>
        </w:rPr>
        <w:t xml:space="preserve">3.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rPr>
        <w:t>4. 负责政府非税收入管理。负责政府性基金管理，按规定管理行政事业性收费。管理财政票据。</w:t>
      </w:r>
    </w:p>
    <w:p>
      <w:pPr>
        <w:pStyle w:val="2"/>
        <w:adjustRightInd w:val="0"/>
        <w:snapToGrid w:val="0"/>
        <w:spacing w:before="93" w:line="580" w:lineRule="exact"/>
        <w:ind w:firstLine="640" w:firstLineChars="200"/>
        <w:rPr>
          <w:sz w:val="32"/>
          <w:szCs w:val="32"/>
        </w:rPr>
      </w:pPr>
      <w:r>
        <w:rPr>
          <w:rFonts w:hint="eastAsia"/>
          <w:sz w:val="32"/>
          <w:szCs w:val="32"/>
        </w:rPr>
        <w:t xml:space="preserve">5.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rPr>
        <w:t xml:space="preserve">6. 负责制定全区行政事业单位国有资产管理规章制度及区级机关事业单位国有资产收益管理办法并对执行情况进行监督检查，负责区级行政事业单位的国有资产管理，承担其产权界定、清查登记、资产处置工作，负责区级机关国有资产经营收益财政专户管理工作。制定需要全区统一规定的开支标准和支出政策，负责财政预算内行政机构、事业单位和社会团体的非贸易外汇和财政预算内的国际收支管理。    </w:t>
      </w:r>
    </w:p>
    <w:p>
      <w:pPr>
        <w:pStyle w:val="2"/>
        <w:adjustRightInd w:val="0"/>
        <w:snapToGrid w:val="0"/>
        <w:spacing w:before="93" w:line="580" w:lineRule="exact"/>
        <w:ind w:firstLine="640" w:firstLineChars="200"/>
        <w:rPr>
          <w:sz w:val="32"/>
          <w:szCs w:val="32"/>
        </w:rPr>
      </w:pPr>
      <w:r>
        <w:rPr>
          <w:rFonts w:hint="eastAsia"/>
          <w:sz w:val="32"/>
          <w:szCs w:val="32"/>
        </w:rPr>
        <w:t>7. 审核和汇总编制全区国有资本经营预决算草案，制订国有资本经营预算的制度和办法，收取区级企业国有资本收益，组织实施企业财务制度，参与拟订企业国有资产管理相关制度，按规定管理资产评估工作。</w:t>
      </w:r>
    </w:p>
    <w:p>
      <w:pPr>
        <w:pStyle w:val="2"/>
        <w:adjustRightInd w:val="0"/>
        <w:snapToGrid w:val="0"/>
        <w:spacing w:before="93" w:line="580" w:lineRule="exact"/>
        <w:ind w:firstLine="640" w:firstLineChars="200"/>
        <w:rPr>
          <w:sz w:val="32"/>
          <w:szCs w:val="32"/>
        </w:rPr>
      </w:pPr>
      <w:r>
        <w:rPr>
          <w:rFonts w:hint="eastAsia"/>
          <w:sz w:val="32"/>
          <w:szCs w:val="32"/>
        </w:rPr>
        <w:t>8. 管理和监督财政性经济发展支出、政府性投资项目的财政拨款，负责投资评审管理工作，参与拟订政府性建设投资的有关政策，制定基本建设财务制度，负责有关政策性补贴和专项储备资金财政管理工作。负责全区农业综合开发管理工作。</w:t>
      </w:r>
    </w:p>
    <w:p>
      <w:pPr>
        <w:pStyle w:val="2"/>
        <w:adjustRightInd w:val="0"/>
        <w:snapToGrid w:val="0"/>
        <w:spacing w:before="93" w:line="580" w:lineRule="exact"/>
        <w:ind w:firstLine="640" w:firstLineChars="200"/>
        <w:rPr>
          <w:sz w:val="32"/>
          <w:szCs w:val="32"/>
        </w:rPr>
      </w:pPr>
      <w:r>
        <w:rPr>
          <w:rFonts w:hint="eastAsia"/>
          <w:sz w:val="32"/>
          <w:szCs w:val="32"/>
        </w:rPr>
        <w:t>9. 会同有关部门管理全区社会保障和就业及医疗卫生支出，会同有关部门拟订社会保障资金（基金）的财务管理制度，编制区级社会保障预决算草案。</w:t>
      </w:r>
    </w:p>
    <w:p>
      <w:pPr>
        <w:pStyle w:val="2"/>
        <w:adjustRightInd w:val="0"/>
        <w:snapToGrid w:val="0"/>
        <w:spacing w:before="93" w:line="580" w:lineRule="exact"/>
        <w:ind w:firstLine="480" w:firstLineChars="150"/>
        <w:rPr>
          <w:sz w:val="32"/>
          <w:szCs w:val="32"/>
        </w:rPr>
      </w:pPr>
      <w:r>
        <w:rPr>
          <w:rFonts w:hint="eastAsia"/>
          <w:sz w:val="32"/>
          <w:szCs w:val="32"/>
        </w:rPr>
        <w:t>10. 组织执行政府债务管理制度和政策，制定具体管理办法，负责管理全区政府性债务，防范财政风险。参与研究利用外资的有关政策，管理外国政府和国际金融机构贷（赠）款项目的有关业务，参与财税领域的国际交流与合作。</w:t>
      </w:r>
    </w:p>
    <w:p>
      <w:pPr>
        <w:pStyle w:val="2"/>
        <w:adjustRightInd w:val="0"/>
        <w:snapToGrid w:val="0"/>
        <w:spacing w:before="93" w:line="580" w:lineRule="exact"/>
        <w:ind w:firstLine="640" w:firstLineChars="200"/>
        <w:rPr>
          <w:sz w:val="32"/>
          <w:szCs w:val="32"/>
        </w:rPr>
      </w:pPr>
      <w:r>
        <w:rPr>
          <w:rFonts w:hint="eastAsia"/>
          <w:sz w:val="32"/>
          <w:szCs w:val="32"/>
        </w:rPr>
        <w:t>11. 负责管理全区的会计工作，监督、规范会计行为和会计信息，组织实施国家统一的会计制度，指导和管理社会审计工作。</w:t>
      </w:r>
    </w:p>
    <w:p>
      <w:pPr>
        <w:pStyle w:val="2"/>
        <w:adjustRightInd w:val="0"/>
        <w:snapToGrid w:val="0"/>
        <w:spacing w:before="93" w:line="580" w:lineRule="exact"/>
        <w:ind w:firstLine="640" w:firstLineChars="200"/>
        <w:rPr>
          <w:sz w:val="32"/>
          <w:szCs w:val="32"/>
        </w:rPr>
      </w:pPr>
      <w:r>
        <w:rPr>
          <w:rFonts w:hint="eastAsia"/>
          <w:sz w:val="32"/>
          <w:szCs w:val="32"/>
        </w:rPr>
        <w:t>12. 负责财政资金绩效评价。监督检查财税法规、政策的执行情况，反映财政收支管理中的重大问题。依法查处违反财经法纪的行为。</w:t>
      </w:r>
    </w:p>
    <w:p>
      <w:pPr>
        <w:pStyle w:val="2"/>
        <w:adjustRightInd w:val="0"/>
        <w:snapToGrid w:val="0"/>
        <w:spacing w:before="93" w:line="580" w:lineRule="exact"/>
        <w:ind w:firstLine="640" w:firstLineChars="200"/>
        <w:rPr>
          <w:sz w:val="32"/>
          <w:szCs w:val="32"/>
        </w:rPr>
      </w:pPr>
      <w:r>
        <w:rPr>
          <w:rFonts w:hint="eastAsia"/>
          <w:sz w:val="32"/>
          <w:szCs w:val="32"/>
        </w:rPr>
        <w:t>13. 负责财政宣传和财政信息管理系统工作，制订财政科学研究和教育规划，组织和管理全区财政业务培训。</w:t>
      </w:r>
    </w:p>
    <w:p>
      <w:pPr>
        <w:pStyle w:val="2"/>
        <w:adjustRightInd w:val="0"/>
        <w:snapToGrid w:val="0"/>
        <w:spacing w:before="93" w:line="580" w:lineRule="exact"/>
        <w:ind w:firstLine="640" w:firstLineChars="200"/>
        <w:rPr>
          <w:sz w:val="32"/>
          <w:szCs w:val="32"/>
        </w:rPr>
      </w:pPr>
      <w:r>
        <w:rPr>
          <w:rFonts w:hint="eastAsia"/>
          <w:sz w:val="32"/>
          <w:szCs w:val="32"/>
        </w:rPr>
        <w:t>14. 承办区政府交办的其他事项。</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（三）人员概况。</w:t>
      </w:r>
    </w:p>
    <w:p>
      <w:pPr>
        <w:widowControl/>
        <w:ind w:firstLine="640" w:firstLineChars="200"/>
        <w:jc w:val="left"/>
        <w:rPr>
          <w:rFonts w:ascii="仿宋_GB2312" w:hAnsi="宋体" w:eastAsia="仿宋_GB2312" w:cs="仿宋_GB2312"/>
          <w:color w:val="000000"/>
          <w:kern w:val="0"/>
          <w:sz w:val="32"/>
          <w:szCs w:val="32"/>
          <w:lang w:val="zh-CN" w:bidi="ar"/>
        </w:rPr>
      </w:pPr>
      <w:r>
        <w:rPr>
          <w:rFonts w:ascii="仿宋_GB2312" w:hAnsi="宋体" w:eastAsia="仿宋_GB2312" w:cs="仿宋_GB2312"/>
          <w:color w:val="000000"/>
          <w:kern w:val="0"/>
          <w:sz w:val="32"/>
          <w:szCs w:val="32"/>
          <w:lang w:val="zh-CN" w:bidi="ar"/>
        </w:rPr>
        <w:t>2020 年，部门编制人数</w:t>
      </w:r>
      <w:r>
        <w:rPr>
          <w:rFonts w:hint="eastAsia" w:ascii="仿宋_GB2312" w:hAnsi="宋体" w:eastAsia="仿宋_GB2312" w:cs="仿宋_GB2312"/>
          <w:color w:val="000000"/>
          <w:kern w:val="0"/>
          <w:sz w:val="32"/>
          <w:szCs w:val="32"/>
          <w:lang w:bidi="ar"/>
        </w:rPr>
        <w:t>41</w:t>
      </w:r>
      <w:r>
        <w:rPr>
          <w:rFonts w:ascii="仿宋_GB2312" w:hAnsi="宋体" w:eastAsia="仿宋_GB2312" w:cs="仿宋_GB2312"/>
          <w:color w:val="000000"/>
          <w:kern w:val="0"/>
          <w:sz w:val="32"/>
          <w:szCs w:val="32"/>
          <w:lang w:val="zh-CN" w:bidi="ar"/>
        </w:rPr>
        <w:t xml:space="preserve">人，其中行政编制 </w:t>
      </w:r>
      <w:r>
        <w:rPr>
          <w:rFonts w:hint="eastAsia" w:ascii="仿宋_GB2312" w:hAnsi="宋体" w:eastAsia="仿宋_GB2312" w:cs="仿宋_GB2312"/>
          <w:color w:val="000000"/>
          <w:kern w:val="0"/>
          <w:sz w:val="32"/>
          <w:szCs w:val="32"/>
          <w:lang w:bidi="ar"/>
        </w:rPr>
        <w:t>20</w:t>
      </w:r>
      <w:r>
        <w:rPr>
          <w:rFonts w:ascii="仿宋_GB2312" w:hAnsi="宋体" w:eastAsia="仿宋_GB2312" w:cs="仿宋_GB2312"/>
          <w:color w:val="000000"/>
          <w:kern w:val="0"/>
          <w:sz w:val="32"/>
          <w:szCs w:val="32"/>
          <w:lang w:val="zh-CN" w:bidi="ar"/>
        </w:rPr>
        <w:t>人，事业编制</w:t>
      </w:r>
      <w:r>
        <w:rPr>
          <w:rFonts w:hint="eastAsia" w:ascii="仿宋_GB2312" w:hAnsi="宋体" w:eastAsia="仿宋_GB2312" w:cs="仿宋_GB2312"/>
          <w:color w:val="000000"/>
          <w:kern w:val="0"/>
          <w:sz w:val="32"/>
          <w:szCs w:val="32"/>
          <w:lang w:bidi="ar"/>
        </w:rPr>
        <w:t>21</w:t>
      </w:r>
      <w:r>
        <w:rPr>
          <w:rFonts w:ascii="仿宋_GB2312" w:hAnsi="宋体" w:eastAsia="仿宋_GB2312" w:cs="仿宋_GB2312"/>
          <w:color w:val="000000"/>
          <w:kern w:val="0"/>
          <w:sz w:val="32"/>
          <w:szCs w:val="32"/>
          <w:lang w:val="zh-CN" w:bidi="ar"/>
        </w:rPr>
        <w:t>人（其中参照公务员法管理事业人员</w:t>
      </w:r>
      <w:r>
        <w:rPr>
          <w:rFonts w:hint="eastAsia" w:ascii="仿宋_GB2312" w:hAnsi="宋体" w:eastAsia="仿宋_GB2312" w:cs="仿宋_GB2312"/>
          <w:color w:val="000000"/>
          <w:kern w:val="0"/>
          <w:sz w:val="32"/>
          <w:szCs w:val="32"/>
          <w:lang w:bidi="ar"/>
        </w:rPr>
        <w:t>14</w:t>
      </w:r>
      <w:r>
        <w:rPr>
          <w:rFonts w:ascii="仿宋_GB2312" w:hAnsi="宋体" w:eastAsia="仿宋_GB2312" w:cs="仿宋_GB2312"/>
          <w:color w:val="000000"/>
          <w:kern w:val="0"/>
          <w:sz w:val="32"/>
          <w:szCs w:val="32"/>
          <w:lang w:val="zh-CN" w:bidi="ar"/>
        </w:rPr>
        <w:t>人）；年末在职人员实有人数</w:t>
      </w:r>
      <w:r>
        <w:rPr>
          <w:rFonts w:hint="eastAsia" w:ascii="仿宋_GB2312" w:hAnsi="宋体" w:eastAsia="仿宋_GB2312" w:cs="仿宋_GB2312"/>
          <w:color w:val="000000"/>
          <w:kern w:val="0"/>
          <w:sz w:val="32"/>
          <w:szCs w:val="32"/>
          <w:lang w:bidi="ar"/>
        </w:rPr>
        <w:t>33</w:t>
      </w:r>
      <w:r>
        <w:rPr>
          <w:rFonts w:ascii="仿宋_GB2312" w:hAnsi="宋体" w:eastAsia="仿宋_GB2312" w:cs="仿宋_GB2312"/>
          <w:color w:val="000000"/>
          <w:kern w:val="0"/>
          <w:sz w:val="32"/>
          <w:szCs w:val="32"/>
          <w:lang w:val="zh-CN" w:bidi="ar"/>
        </w:rPr>
        <w:t>人，其中行政人员</w:t>
      </w:r>
      <w:r>
        <w:rPr>
          <w:rFonts w:hint="eastAsia" w:ascii="仿宋_GB2312" w:hAnsi="宋体" w:eastAsia="仿宋_GB2312" w:cs="仿宋_GB2312"/>
          <w:color w:val="000000"/>
          <w:kern w:val="0"/>
          <w:sz w:val="32"/>
          <w:szCs w:val="32"/>
          <w:lang w:bidi="ar"/>
        </w:rPr>
        <w:t>17</w:t>
      </w:r>
      <w:r>
        <w:rPr>
          <w:rFonts w:ascii="仿宋_GB2312" w:hAnsi="宋体" w:eastAsia="仿宋_GB2312" w:cs="仿宋_GB2312"/>
          <w:color w:val="000000"/>
          <w:kern w:val="0"/>
          <w:sz w:val="32"/>
          <w:szCs w:val="32"/>
          <w:lang w:val="zh-CN" w:bidi="ar"/>
        </w:rPr>
        <w:t>人，事业人员</w:t>
      </w:r>
      <w:r>
        <w:rPr>
          <w:rFonts w:hint="eastAsia" w:ascii="仿宋_GB2312" w:hAnsi="宋体" w:eastAsia="仿宋_GB2312" w:cs="仿宋_GB2312"/>
          <w:color w:val="000000"/>
          <w:kern w:val="0"/>
          <w:sz w:val="32"/>
          <w:szCs w:val="32"/>
          <w:lang w:bidi="ar"/>
        </w:rPr>
        <w:t>16</w:t>
      </w:r>
      <w:r>
        <w:rPr>
          <w:rFonts w:ascii="仿宋_GB2312" w:hAnsi="宋体" w:eastAsia="仿宋_GB2312" w:cs="仿宋_GB2312"/>
          <w:color w:val="000000"/>
          <w:kern w:val="0"/>
          <w:sz w:val="32"/>
          <w:szCs w:val="32"/>
          <w:lang w:val="zh-CN" w:bidi="ar"/>
        </w:rPr>
        <w:t>人（其中参照公务员法管理事业人员</w:t>
      </w:r>
      <w:r>
        <w:rPr>
          <w:rFonts w:hint="eastAsia" w:ascii="仿宋_GB2312" w:hAnsi="宋体" w:eastAsia="仿宋_GB2312" w:cs="仿宋_GB2312"/>
          <w:color w:val="000000"/>
          <w:kern w:val="0"/>
          <w:sz w:val="32"/>
          <w:szCs w:val="32"/>
          <w:lang w:bidi="ar"/>
        </w:rPr>
        <w:t>12</w:t>
      </w:r>
      <w:r>
        <w:rPr>
          <w:rFonts w:ascii="仿宋_GB2312" w:hAnsi="宋体" w:eastAsia="仿宋_GB2312" w:cs="仿宋_GB2312"/>
          <w:color w:val="000000"/>
          <w:kern w:val="0"/>
          <w:sz w:val="32"/>
          <w:szCs w:val="32"/>
          <w:lang w:val="zh-CN" w:bidi="ar"/>
        </w:rPr>
        <w:t xml:space="preserve">人）；年末离休人员 </w:t>
      </w:r>
      <w:r>
        <w:rPr>
          <w:rFonts w:hint="eastAsia" w:ascii="仿宋_GB2312" w:hAnsi="宋体" w:eastAsia="仿宋_GB2312" w:cs="仿宋_GB2312"/>
          <w:color w:val="000000"/>
          <w:kern w:val="0"/>
          <w:sz w:val="32"/>
          <w:szCs w:val="32"/>
          <w:lang w:bidi="ar"/>
        </w:rPr>
        <w:t>0</w:t>
      </w:r>
      <w:r>
        <w:rPr>
          <w:rFonts w:ascii="仿宋_GB2312" w:hAnsi="宋体" w:eastAsia="仿宋_GB2312" w:cs="仿宋_GB2312"/>
          <w:color w:val="000000"/>
          <w:kern w:val="0"/>
          <w:sz w:val="32"/>
          <w:szCs w:val="32"/>
          <w:lang w:val="zh-CN" w:bidi="ar"/>
        </w:rPr>
        <w:t>人</w:t>
      </w:r>
      <w:r>
        <w:rPr>
          <w:rFonts w:hint="eastAsia" w:ascii="仿宋_GB2312" w:hAnsi="宋体" w:eastAsia="仿宋_GB2312" w:cs="仿宋_GB2312"/>
          <w:color w:val="000000"/>
          <w:kern w:val="0"/>
          <w:sz w:val="32"/>
          <w:szCs w:val="32"/>
          <w:lang w:val="zh-CN" w:bidi="ar"/>
        </w:rPr>
        <w:t>。</w:t>
      </w:r>
    </w:p>
    <w:p>
      <w:pPr>
        <w:widowControl/>
        <w:adjustRightInd w:val="0"/>
        <w:snapToGrid w:val="0"/>
        <w:spacing w:line="580" w:lineRule="exact"/>
        <w:ind w:firstLine="640" w:firstLineChars="20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（一）部门财政资金收入情况。</w:t>
      </w:r>
    </w:p>
    <w:p>
      <w:pPr>
        <w:widowControl/>
        <w:ind w:firstLine="640" w:firstLineChars="200"/>
        <w:jc w:val="left"/>
        <w:rPr>
          <w:sz w:val="32"/>
          <w:szCs w:val="32"/>
        </w:rPr>
      </w:pPr>
      <w:r>
        <w:rPr>
          <w:rFonts w:ascii="仿宋_GB2312" w:hAnsi="宋体" w:eastAsia="仿宋_GB2312" w:cs="仿宋_GB2312"/>
          <w:color w:val="000000"/>
          <w:kern w:val="0"/>
          <w:sz w:val="32"/>
          <w:szCs w:val="32"/>
          <w:lang w:bidi="ar"/>
        </w:rPr>
        <w:t>2020年本部门财政拨款收入决算总额为</w:t>
      </w:r>
      <w:r>
        <w:rPr>
          <w:rFonts w:hint="eastAsia" w:ascii="仿宋" w:hAnsi="仿宋" w:eastAsia="仿宋"/>
          <w:color w:val="000000"/>
          <w:sz w:val="32"/>
          <w:szCs w:val="32"/>
        </w:rPr>
        <w:t>755.93</w:t>
      </w:r>
      <w:r>
        <w:rPr>
          <w:rFonts w:ascii="仿宋_GB2312" w:hAnsi="宋体" w:eastAsia="仿宋_GB2312" w:cs="仿宋_GB2312"/>
          <w:color w:val="000000"/>
          <w:kern w:val="0"/>
          <w:sz w:val="32"/>
          <w:szCs w:val="32"/>
          <w:lang w:bidi="ar"/>
        </w:rPr>
        <w:t xml:space="preserve">万元。 </w:t>
      </w:r>
    </w:p>
    <w:p>
      <w:pPr>
        <w:widowControl/>
        <w:jc w:val="left"/>
        <w:rPr>
          <w:sz w:val="32"/>
          <w:szCs w:val="32"/>
        </w:rPr>
      </w:pPr>
      <w:r>
        <w:rPr>
          <w:rFonts w:ascii="仿宋_GB2312" w:hAnsi="宋体" w:eastAsia="仿宋_GB2312" w:cs="仿宋_GB2312"/>
          <w:color w:val="000000"/>
          <w:kern w:val="0"/>
          <w:sz w:val="32"/>
          <w:szCs w:val="32"/>
          <w:lang w:bidi="ar"/>
        </w:rPr>
        <w:t xml:space="preserve">其中：当年财政拨款收入 </w:t>
      </w:r>
      <w:r>
        <w:rPr>
          <w:rFonts w:hint="eastAsia" w:ascii="仿宋" w:hAnsi="仿宋" w:eastAsia="仿宋"/>
          <w:color w:val="000000"/>
          <w:sz w:val="32"/>
          <w:szCs w:val="32"/>
        </w:rPr>
        <w:t>755.93</w:t>
      </w:r>
      <w:r>
        <w:rPr>
          <w:rFonts w:ascii="仿宋_GB2312" w:hAnsi="宋体" w:eastAsia="仿宋_GB2312" w:cs="仿宋_GB2312"/>
          <w:color w:val="000000"/>
          <w:kern w:val="0"/>
          <w:sz w:val="32"/>
          <w:szCs w:val="32"/>
          <w:lang w:bidi="ar"/>
        </w:rPr>
        <w:t xml:space="preserve"> 万元，均为一般公共预 </w:t>
      </w:r>
    </w:p>
    <w:p>
      <w:pPr>
        <w:widowControl/>
        <w:jc w:val="left"/>
        <w:rPr>
          <w:sz w:val="32"/>
          <w:szCs w:val="32"/>
        </w:rPr>
      </w:pPr>
      <w:r>
        <w:rPr>
          <w:rFonts w:ascii="仿宋_GB2312" w:hAnsi="宋体" w:eastAsia="仿宋_GB2312" w:cs="仿宋_GB2312"/>
          <w:color w:val="000000"/>
          <w:kern w:val="0"/>
          <w:sz w:val="32"/>
          <w:szCs w:val="32"/>
          <w:lang w:bidi="ar"/>
        </w:rPr>
        <w:t>算财政拨款。</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hint="eastAsia" w:eastAsia="仿宋_GB2312"/>
          <w:color w:val="000000"/>
          <w:kern w:val="0"/>
          <w:sz w:val="32"/>
          <w:szCs w:val="32"/>
          <w:shd w:val="clear" w:color="auto" w:fill="FFFFFF"/>
          <w:lang w:val="zh-CN"/>
        </w:rPr>
        <w:t>（</w:t>
      </w:r>
      <w:r>
        <w:rPr>
          <w:rFonts w:hint="eastAsia" w:eastAsia="仿宋_GB2312"/>
          <w:color w:val="000000"/>
          <w:kern w:val="0"/>
          <w:sz w:val="32"/>
          <w:szCs w:val="32"/>
          <w:shd w:val="clear" w:color="auto" w:fill="FFFFFF"/>
        </w:rPr>
        <w:t>二</w:t>
      </w:r>
      <w:r>
        <w:rPr>
          <w:rFonts w:hint="eastAsia" w:eastAsia="仿宋_GB2312"/>
          <w:color w:val="000000"/>
          <w:kern w:val="0"/>
          <w:sz w:val="32"/>
          <w:szCs w:val="32"/>
          <w:shd w:val="clear" w:color="auto" w:fill="FFFFFF"/>
          <w:lang w:val="zh-CN"/>
        </w:rPr>
        <w:t>）</w:t>
      </w:r>
      <w:r>
        <w:rPr>
          <w:rFonts w:eastAsia="仿宋_GB2312"/>
          <w:color w:val="000000"/>
          <w:kern w:val="0"/>
          <w:sz w:val="32"/>
          <w:szCs w:val="32"/>
          <w:shd w:val="clear" w:color="auto" w:fill="FFFFFF"/>
          <w:lang w:val="zh-CN"/>
        </w:rPr>
        <w:t>部门财政资金支出情况。</w:t>
      </w:r>
    </w:p>
    <w:p>
      <w:pPr>
        <w:widowControl/>
        <w:ind w:firstLine="640" w:firstLineChars="200"/>
        <w:jc w:val="left"/>
        <w:rPr>
          <w:sz w:val="32"/>
          <w:szCs w:val="32"/>
        </w:rPr>
      </w:pPr>
      <w:r>
        <w:rPr>
          <w:rFonts w:ascii="仿宋_GB2312" w:hAnsi="宋体" w:eastAsia="仿宋_GB2312" w:cs="仿宋_GB2312"/>
          <w:color w:val="000000"/>
          <w:kern w:val="0"/>
          <w:sz w:val="32"/>
          <w:szCs w:val="32"/>
          <w:lang w:bidi="ar"/>
        </w:rPr>
        <w:t>2020年本部门财政拨款支出决算总额为</w:t>
      </w:r>
      <w:r>
        <w:rPr>
          <w:rFonts w:hint="eastAsia" w:ascii="仿宋_GB2312" w:hAnsi="宋体" w:eastAsia="仿宋_GB2312" w:cs="仿宋_GB2312"/>
          <w:color w:val="000000"/>
          <w:kern w:val="0"/>
          <w:sz w:val="32"/>
          <w:szCs w:val="32"/>
          <w:lang w:bidi="ar"/>
        </w:rPr>
        <w:t>775.4</w:t>
      </w:r>
      <w:r>
        <w:rPr>
          <w:rFonts w:ascii="仿宋_GB2312" w:hAnsi="宋体" w:eastAsia="仿宋_GB2312" w:cs="仿宋_GB2312"/>
          <w:color w:val="000000"/>
          <w:kern w:val="0"/>
          <w:sz w:val="32"/>
          <w:szCs w:val="32"/>
          <w:lang w:bidi="ar"/>
        </w:rPr>
        <w:t xml:space="preserve">万元。 </w:t>
      </w:r>
    </w:p>
    <w:p>
      <w:pPr>
        <w:widowControl/>
        <w:jc w:val="left"/>
      </w:pPr>
      <w:r>
        <w:rPr>
          <w:rFonts w:ascii="仿宋_GB2312" w:hAnsi="宋体" w:eastAsia="仿宋_GB2312" w:cs="仿宋_GB2312"/>
          <w:color w:val="000000"/>
          <w:kern w:val="0"/>
          <w:sz w:val="32"/>
          <w:szCs w:val="32"/>
          <w:lang w:bidi="ar"/>
        </w:rPr>
        <w:t>其中按功能分类，一般公共服务支出</w:t>
      </w:r>
      <w:r>
        <w:rPr>
          <w:rFonts w:hint="eastAsia" w:ascii="仿宋_GB2312" w:hAnsi="宋体" w:eastAsia="仿宋_GB2312" w:cs="仿宋_GB2312"/>
          <w:color w:val="000000"/>
          <w:kern w:val="0"/>
          <w:sz w:val="32"/>
          <w:szCs w:val="32"/>
          <w:lang w:bidi="ar"/>
        </w:rPr>
        <w:t>636</w:t>
      </w:r>
      <w:r>
        <w:rPr>
          <w:rFonts w:ascii="仿宋_GB2312" w:hAnsi="宋体" w:eastAsia="仿宋_GB2312" w:cs="仿宋_GB2312"/>
          <w:color w:val="000000"/>
          <w:kern w:val="0"/>
          <w:sz w:val="32"/>
          <w:szCs w:val="32"/>
          <w:lang w:bidi="ar"/>
        </w:rPr>
        <w:t>万元、社会保障和就业支出</w:t>
      </w:r>
      <w:r>
        <w:rPr>
          <w:rFonts w:hint="eastAsia" w:ascii="仿宋_GB2312" w:hAnsi="宋体" w:eastAsia="仿宋_GB2312" w:cs="仿宋_GB2312"/>
          <w:color w:val="000000"/>
          <w:kern w:val="0"/>
          <w:sz w:val="32"/>
          <w:szCs w:val="32"/>
          <w:lang w:bidi="ar"/>
        </w:rPr>
        <w:t>63</w:t>
      </w:r>
      <w:r>
        <w:rPr>
          <w:rFonts w:ascii="仿宋_GB2312" w:hAnsi="宋体" w:eastAsia="仿宋_GB2312" w:cs="仿宋_GB2312"/>
          <w:color w:val="000000"/>
          <w:kern w:val="0"/>
          <w:sz w:val="32"/>
          <w:szCs w:val="32"/>
          <w:lang w:bidi="ar"/>
        </w:rPr>
        <w:t>万元、卫生健康支出</w:t>
      </w:r>
      <w:r>
        <w:rPr>
          <w:rFonts w:hint="eastAsia" w:ascii="仿宋_GB2312" w:hAnsi="宋体" w:eastAsia="仿宋_GB2312" w:cs="仿宋_GB2312"/>
          <w:color w:val="000000"/>
          <w:kern w:val="0"/>
          <w:sz w:val="32"/>
          <w:szCs w:val="32"/>
          <w:lang w:bidi="ar"/>
        </w:rPr>
        <w:t>14.98</w:t>
      </w:r>
      <w:r>
        <w:rPr>
          <w:rFonts w:ascii="仿宋_GB2312" w:hAnsi="宋体" w:eastAsia="仿宋_GB2312" w:cs="仿宋_GB2312"/>
          <w:color w:val="000000"/>
          <w:kern w:val="0"/>
          <w:sz w:val="32"/>
          <w:szCs w:val="32"/>
          <w:lang w:bidi="ar"/>
        </w:rPr>
        <w:t>万元、</w:t>
      </w:r>
      <w:r>
        <w:rPr>
          <w:rFonts w:hint="eastAsia" w:ascii="仿宋_GB2312" w:hAnsi="宋体" w:eastAsia="仿宋_GB2312" w:cs="仿宋_GB2312"/>
          <w:color w:val="000000"/>
          <w:kern w:val="0"/>
          <w:sz w:val="32"/>
          <w:szCs w:val="32"/>
          <w:lang w:bidi="ar"/>
        </w:rPr>
        <w:t>金融支出39.5万元、</w:t>
      </w:r>
      <w:r>
        <w:rPr>
          <w:rFonts w:ascii="仿宋_GB2312" w:hAnsi="宋体" w:eastAsia="仿宋_GB2312" w:cs="仿宋_GB2312"/>
          <w:color w:val="000000"/>
          <w:kern w:val="0"/>
          <w:sz w:val="32"/>
          <w:szCs w:val="32"/>
          <w:lang w:bidi="ar"/>
        </w:rPr>
        <w:t>住房保障支出</w:t>
      </w:r>
      <w:r>
        <w:rPr>
          <w:rFonts w:hint="eastAsia" w:ascii="仿宋_GB2312" w:hAnsi="宋体" w:eastAsia="仿宋_GB2312" w:cs="仿宋_GB2312"/>
          <w:color w:val="000000"/>
          <w:kern w:val="0"/>
          <w:sz w:val="32"/>
          <w:szCs w:val="32"/>
          <w:lang w:bidi="ar"/>
        </w:rPr>
        <w:t>21.92</w:t>
      </w:r>
      <w:r>
        <w:rPr>
          <w:rFonts w:ascii="仿宋_GB2312" w:hAnsi="宋体" w:eastAsia="仿宋_GB2312" w:cs="仿宋_GB2312"/>
          <w:color w:val="000000"/>
          <w:kern w:val="0"/>
          <w:sz w:val="32"/>
          <w:szCs w:val="32"/>
          <w:lang w:bidi="ar"/>
        </w:rPr>
        <w:t>万元；按支出性质分类，基本支出</w:t>
      </w:r>
      <w:r>
        <w:rPr>
          <w:rFonts w:hint="eastAsia" w:ascii="仿宋_GB2312" w:hAnsi="宋体" w:eastAsia="仿宋_GB2312" w:cs="仿宋_GB2312"/>
          <w:color w:val="000000"/>
          <w:kern w:val="0"/>
          <w:sz w:val="32"/>
          <w:szCs w:val="32"/>
          <w:lang w:bidi="ar"/>
        </w:rPr>
        <w:t>606.75</w:t>
      </w:r>
      <w:r>
        <w:rPr>
          <w:rFonts w:ascii="仿宋_GB2312" w:hAnsi="宋体" w:eastAsia="仿宋_GB2312" w:cs="仿宋_GB2312"/>
          <w:color w:val="000000"/>
          <w:kern w:val="0"/>
          <w:sz w:val="32"/>
          <w:szCs w:val="32"/>
          <w:lang w:bidi="ar"/>
        </w:rPr>
        <w:t>万元、项目支出</w:t>
      </w:r>
      <w:r>
        <w:rPr>
          <w:rFonts w:hint="eastAsia" w:ascii="仿宋_GB2312" w:hAnsi="宋体" w:eastAsia="仿宋_GB2312" w:cs="仿宋_GB2312"/>
          <w:color w:val="000000"/>
          <w:kern w:val="0"/>
          <w:sz w:val="32"/>
          <w:szCs w:val="32"/>
          <w:lang w:bidi="ar"/>
        </w:rPr>
        <w:t>168.65</w:t>
      </w:r>
      <w:r>
        <w:rPr>
          <w:rFonts w:ascii="仿宋_GB2312" w:hAnsi="宋体" w:eastAsia="仿宋_GB2312" w:cs="仿宋_GB2312"/>
          <w:color w:val="000000"/>
          <w:kern w:val="0"/>
          <w:sz w:val="32"/>
          <w:szCs w:val="32"/>
          <w:lang w:bidi="ar"/>
        </w:rPr>
        <w:t>万元；按经济分类，工资福利支出</w:t>
      </w:r>
      <w:r>
        <w:rPr>
          <w:rFonts w:hint="eastAsia" w:ascii="仿宋_GB2312" w:hAnsi="宋体" w:eastAsia="仿宋_GB2312" w:cs="仿宋_GB2312"/>
          <w:color w:val="000000"/>
          <w:kern w:val="0"/>
          <w:sz w:val="32"/>
          <w:szCs w:val="32"/>
          <w:lang w:bidi="ar"/>
        </w:rPr>
        <w:t>400.43</w:t>
      </w:r>
      <w:r>
        <w:rPr>
          <w:rFonts w:ascii="仿宋_GB2312" w:hAnsi="宋体" w:eastAsia="仿宋_GB2312" w:cs="仿宋_GB2312"/>
          <w:color w:val="000000"/>
          <w:kern w:val="0"/>
          <w:sz w:val="32"/>
          <w:szCs w:val="32"/>
          <w:lang w:bidi="ar"/>
        </w:rPr>
        <w:t>万元、商品和服务支出</w:t>
      </w:r>
      <w:r>
        <w:rPr>
          <w:rFonts w:hint="eastAsia" w:ascii="仿宋_GB2312" w:hAnsi="宋体" w:eastAsia="仿宋_GB2312" w:cs="仿宋_GB2312"/>
          <w:color w:val="000000"/>
          <w:kern w:val="0"/>
          <w:sz w:val="32"/>
          <w:szCs w:val="32"/>
          <w:lang w:bidi="ar"/>
        </w:rPr>
        <w:t>323.17</w:t>
      </w:r>
      <w:r>
        <w:rPr>
          <w:rFonts w:ascii="仿宋_GB2312" w:hAnsi="宋体" w:eastAsia="仿宋_GB2312" w:cs="仿宋_GB2312"/>
          <w:color w:val="000000"/>
          <w:kern w:val="0"/>
          <w:sz w:val="32"/>
          <w:szCs w:val="32"/>
          <w:lang w:bidi="ar"/>
        </w:rPr>
        <w:t>万元、对个人和家庭的补助支出</w:t>
      </w:r>
      <w:r>
        <w:rPr>
          <w:rFonts w:hint="eastAsia" w:ascii="仿宋_GB2312" w:hAnsi="宋体" w:eastAsia="仿宋_GB2312" w:cs="仿宋_GB2312"/>
          <w:color w:val="000000"/>
          <w:kern w:val="0"/>
          <w:sz w:val="32"/>
          <w:szCs w:val="32"/>
          <w:lang w:bidi="ar"/>
        </w:rPr>
        <w:t>12.29</w:t>
      </w:r>
      <w:r>
        <w:rPr>
          <w:rFonts w:ascii="仿宋_GB2312" w:hAnsi="宋体" w:eastAsia="仿宋_GB2312" w:cs="仿宋_GB2312"/>
          <w:color w:val="000000"/>
          <w:kern w:val="0"/>
          <w:sz w:val="32"/>
          <w:szCs w:val="32"/>
          <w:lang w:bidi="ar"/>
        </w:rPr>
        <w:t>万元</w:t>
      </w:r>
      <w:r>
        <w:rPr>
          <w:rFonts w:hint="eastAsia" w:ascii="仿宋_GB2312" w:hAnsi="宋体" w:eastAsia="仿宋_GB2312" w:cs="仿宋_GB2312"/>
          <w:color w:val="000000"/>
          <w:kern w:val="0"/>
          <w:sz w:val="32"/>
          <w:szCs w:val="32"/>
          <w:lang w:bidi="ar"/>
        </w:rPr>
        <w:t>、对企业补助39.5万元</w:t>
      </w:r>
      <w:r>
        <w:rPr>
          <w:rFonts w:ascii="仿宋_GB2312" w:hAnsi="宋体" w:eastAsia="仿宋_GB2312" w:cs="仿宋_GB2312"/>
          <w:color w:val="000000"/>
          <w:kern w:val="0"/>
          <w:sz w:val="32"/>
          <w:szCs w:val="32"/>
          <w:lang w:bidi="ar"/>
        </w:rPr>
        <w:t>。</w:t>
      </w:r>
      <w:r>
        <w:rPr>
          <w:rFonts w:ascii="仿宋_GB2312" w:hAnsi="宋体" w:eastAsia="仿宋_GB2312" w:cs="仿宋_GB2312"/>
          <w:color w:val="000000"/>
          <w:kern w:val="0"/>
          <w:sz w:val="31"/>
          <w:szCs w:val="31"/>
          <w:lang w:bidi="ar"/>
        </w:rPr>
        <w:t xml:space="preserve"> </w:t>
      </w:r>
    </w:p>
    <w:p>
      <w:pPr>
        <w:widowControl/>
        <w:adjustRightInd w:val="0"/>
        <w:snapToGrid w:val="0"/>
        <w:spacing w:line="580" w:lineRule="exact"/>
        <w:ind w:firstLine="640" w:firstLineChars="20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（一）部门预算管理。</w:t>
      </w:r>
    </w:p>
    <w:p>
      <w:pPr>
        <w:pStyle w:val="2"/>
        <w:spacing w:before="93"/>
      </w:pPr>
      <w:r>
        <w:rPr>
          <w:rFonts w:hint="eastAsia" w:ascii="Times New Roman"/>
          <w:color w:val="000000"/>
          <w:sz w:val="32"/>
          <w:szCs w:val="32"/>
          <w:shd w:val="clear" w:color="auto" w:fill="FFFFFF"/>
        </w:rPr>
        <w:t xml:space="preserve">     当年顺利完成开展财务、预算及债券项目包装业务等任务，基本维持财政各网络、系统正常运行，财政收支平稳运行。下属国库支付中心，完成全年支付笔数任务，实现执收单位、代收银行等电子信息互通共享，确保财政预算顺利执行。下属财政评审中心完成各项送审工程评审工作，审减率达到8%目标任务。以上财政业务服务满意度达到99%以上，当年财政各项指标任务圆满完成。</w:t>
      </w:r>
    </w:p>
    <w:p>
      <w:pPr>
        <w:widowControl/>
        <w:adjustRightInd w:val="0"/>
        <w:snapToGrid w:val="0"/>
        <w:spacing w:line="580" w:lineRule="exact"/>
        <w:ind w:firstLine="640" w:firstLineChars="20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（一）评价结论。</w:t>
      </w:r>
    </w:p>
    <w:p>
      <w:pPr>
        <w:pStyle w:val="2"/>
        <w:spacing w:before="93"/>
      </w:pPr>
      <w:r>
        <w:rPr>
          <w:rFonts w:hint="eastAsia" w:ascii="Times New Roman"/>
          <w:color w:val="000000"/>
          <w:sz w:val="32"/>
          <w:szCs w:val="32"/>
          <w:shd w:val="clear" w:color="auto" w:fill="FFFFFF"/>
        </w:rPr>
        <w:t xml:space="preserve">     当年财政各项业务指标顺利完成，财政工作平稳运行。</w:t>
      </w:r>
    </w:p>
    <w:p>
      <w:pPr>
        <w:widowControl/>
        <w:numPr>
          <w:ilvl w:val="0"/>
          <w:numId w:val="8"/>
        </w:numPr>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存在问题。</w:t>
      </w:r>
    </w:p>
    <w:p>
      <w:pPr>
        <w:pStyle w:val="2"/>
        <w:spacing w:before="93"/>
        <w:rPr>
          <w:rFonts w:ascii="Times New Roman"/>
          <w:color w:val="000000"/>
          <w:sz w:val="32"/>
          <w:szCs w:val="32"/>
          <w:shd w:val="clear" w:color="auto" w:fill="FFFFFF"/>
        </w:rPr>
      </w:pPr>
      <w:r>
        <w:rPr>
          <w:rFonts w:hint="eastAsia"/>
        </w:rPr>
        <w:t xml:space="preserve">    </w:t>
      </w:r>
      <w:r>
        <w:rPr>
          <w:rFonts w:hint="eastAsia" w:ascii="Times New Roman"/>
          <w:color w:val="000000"/>
          <w:sz w:val="32"/>
          <w:szCs w:val="32"/>
          <w:shd w:val="clear" w:color="auto" w:fill="FFFFFF"/>
        </w:rPr>
        <w:t>各项经费能按月、按照预算额度支出，也能保证财政系统的正常运转和其他的经费的按时足额到位，但财政系统业务设备购置项目由于采购未达到付款阶段，故支付进度为0%。</w:t>
      </w:r>
    </w:p>
    <w:p>
      <w:pPr>
        <w:widowControl/>
        <w:numPr>
          <w:ilvl w:val="0"/>
          <w:numId w:val="8"/>
        </w:numPr>
        <w:adjustRightInd w:val="0"/>
        <w:snapToGrid w:val="0"/>
        <w:spacing w:line="580" w:lineRule="exact"/>
        <w:ind w:firstLine="640" w:firstLineChars="20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改进建议。</w:t>
      </w:r>
    </w:p>
    <w:p>
      <w:pPr>
        <w:pStyle w:val="2"/>
        <w:spacing w:before="93"/>
        <w:ind w:firstLine="600" w:firstLineChars="200"/>
      </w:pPr>
      <w:r>
        <w:rPr>
          <w:rFonts w:hint="eastAsia"/>
        </w:rPr>
        <w:t>继续缩减不必要开支，厉行节约，切实保障财政系统的正常运转和其他专项资金的及时、足额支付。对专项工作将加大推进力度，确保专项资金及时支付。</w:t>
      </w:r>
    </w:p>
    <w:p>
      <w:pPr>
        <w:spacing w:line="580" w:lineRule="exact"/>
        <w:rPr>
          <w:rFonts w:eastAsia="仿宋_GB2312"/>
          <w:sz w:val="32"/>
          <w:szCs w:val="32"/>
        </w:rPr>
      </w:pPr>
    </w:p>
    <w:p>
      <w:pPr>
        <w:pStyle w:val="2"/>
      </w:pPr>
    </w:p>
    <w:p>
      <w:pPr>
        <w:spacing w:line="580" w:lineRule="exact"/>
        <w:outlineLvl w:val="1"/>
        <w:rPr>
          <w:rFonts w:ascii="仿宋_GB2312" w:hAnsi="仿宋_GB2312" w:eastAsia="仿宋_GB2312" w:cs="仿宋_GB2312"/>
          <w:sz w:val="32"/>
          <w:szCs w:val="32"/>
        </w:rPr>
      </w:pPr>
      <w:bookmarkStart w:id="74" w:name="_Toc11602"/>
      <w:r>
        <w:rPr>
          <w:rFonts w:hint="eastAsia" w:ascii="黑体" w:hAnsi="黑体" w:eastAsia="黑体" w:cs="黑体"/>
          <w:sz w:val="32"/>
          <w:szCs w:val="32"/>
        </w:rPr>
        <w:t>附件</w:t>
      </w:r>
      <w:r>
        <w:rPr>
          <w:rFonts w:ascii="黑体" w:hAnsi="黑体" w:eastAsia="黑体" w:cs="黑体"/>
          <w:sz w:val="32"/>
          <w:szCs w:val="32"/>
        </w:rPr>
        <w:t>2</w:t>
      </w:r>
      <w:bookmarkEnd w:id="74"/>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财政预算改革、金财网维护租赁项目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9"/>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按照以前年度财政预算改革、金财网维护租赁项目支出立项申报。</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确保预算系统、金财网络系统当年正常运行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金财网络支持财政资金支付时效率大于等于</w:t>
      </w:r>
      <w:r>
        <w:rPr>
          <w:rFonts w:hint="eastAsia" w:ascii="仿宋_GB2312" w:hAnsi="宋体" w:eastAsia="仿宋_GB2312"/>
          <w:sz w:val="32"/>
          <w:szCs w:val="32"/>
          <w:lang w:val="en-US" w:eastAsia="zh-CN"/>
        </w:rPr>
        <w:t>90%。</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我单位按照绩效评价三级指标体系，从数量指标、质量指标、经济指标和满意度指标等四个方面对该项目开展绩效评价。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万40元，预算编制40万元，未进行预算调整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2020年12月31日，该项目资金40万元全部到位，与资金计划一致，均有财政资金提供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2020年12月31日，该项目资金40万元均已支出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预算系统、金财网络系统正常运行</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确保财政支付程序正常运转。保障全区金财网的正常运行。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金融、国资和预算等系统维护项目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9"/>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按照以前年度金融、国资和预算等系统维护支出立项申报。</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维护财政国有资产管理系统、债务管理系统全年正常运行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财政管理系统监管效率大于等于</w:t>
      </w:r>
      <w:r>
        <w:rPr>
          <w:rFonts w:hint="eastAsia" w:ascii="仿宋_GB2312" w:hAnsi="宋体" w:eastAsia="仿宋_GB2312"/>
          <w:sz w:val="32"/>
          <w:szCs w:val="32"/>
          <w:lang w:val="en-US" w:eastAsia="zh-CN"/>
        </w:rPr>
        <w:t>96%。</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我单位按照绩效评价三级指标体系，从质量指标、时效指标和满意度指标等三个方面对该项目开展绩效评价。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万30元，预算编制30万元，未进行预算调整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降低财政管理系统故障率，提高资金管理使用效率。</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left="638" w:leftChars="304" w:firstLine="454" w:firstLineChars="142"/>
        <w:rPr>
          <w:rFonts w:ascii="楷体_GB2312" w:hAnsi="宋体" w:eastAsia="楷体_GB2312"/>
          <w:b/>
          <w:sz w:val="32"/>
          <w:szCs w:val="32"/>
          <w:lang w:val="zh-CN"/>
        </w:rPr>
      </w:pPr>
      <w:r>
        <w:rPr>
          <w:rFonts w:hint="eastAsia" w:ascii="仿宋_GB2312" w:hAnsi="宋体"/>
          <w:sz w:val="32"/>
          <w:szCs w:val="32"/>
          <w:lang w:val="zh-CN"/>
        </w:rPr>
        <w:t>确保财政国有资产管理系统、债务管理系统正常运转。</w:t>
      </w: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rFonts w:hint="eastAsia" w:ascii="仿宋_GB2312" w:hAnsi="宋体" w:eastAsia="仿宋_GB2312"/>
          <w:sz w:val="32"/>
          <w:szCs w:val="32"/>
          <w:lang w:val="zh-CN"/>
        </w:rPr>
      </w:pPr>
    </w:p>
    <w:p>
      <w:pPr>
        <w:spacing w:line="600" w:lineRule="exact"/>
        <w:jc w:val="center"/>
        <w:rPr>
          <w:rFonts w:hint="eastAsia"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财政专业培训教育项目经费</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 xml:space="preserve">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    </w:t>
      </w:r>
    </w:p>
    <w:p>
      <w:pPr>
        <w:pStyle w:val="2"/>
        <w:adjustRightInd w:val="0"/>
        <w:snapToGrid w:val="0"/>
        <w:spacing w:before="93" w:line="580" w:lineRule="exact"/>
        <w:ind w:firstLine="640" w:firstLineChars="200"/>
        <w:rPr>
          <w:rFonts w:hint="eastAsia"/>
          <w:sz w:val="32"/>
          <w:szCs w:val="32"/>
        </w:rPr>
      </w:pPr>
      <w:r>
        <w:rPr>
          <w:rFonts w:hint="eastAsia"/>
          <w:sz w:val="32"/>
          <w:szCs w:val="32"/>
          <w:lang w:val="en-US" w:eastAsia="zh-CN"/>
        </w:rPr>
        <w:t>2</w:t>
      </w:r>
      <w:r>
        <w:rPr>
          <w:rFonts w:hint="eastAsia"/>
          <w:sz w:val="32"/>
          <w:szCs w:val="32"/>
        </w:rPr>
        <w:t>. 组织和指导全区预算会计工作；制订全区国库管理制度、国库集中收付制度。负责国库业务核算与管理、负责管理区级财政和预算单位账户。负责制定政府采购制度，监督管理全区政府采购工作。</w:t>
      </w:r>
    </w:p>
    <w:p>
      <w:pPr>
        <w:pStyle w:val="2"/>
        <w:adjustRightInd w:val="0"/>
        <w:snapToGrid w:val="0"/>
        <w:spacing w:before="93" w:line="580" w:lineRule="exact"/>
        <w:ind w:firstLine="640" w:firstLineChars="200"/>
        <w:rPr>
          <w:sz w:val="32"/>
          <w:szCs w:val="32"/>
        </w:rPr>
      </w:pPr>
      <w:r>
        <w:rPr>
          <w:rFonts w:hint="eastAsia"/>
          <w:sz w:val="32"/>
          <w:szCs w:val="32"/>
        </w:rPr>
        <w:t xml:space="preserve">3. 负责财政宣传和财政信息管理系统工作，制订财政科学研究和教育规划，组织和管理全区财政业务培训。            </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按照以前年度财政专业培训教育项目经费支出立项申报。</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确保预算系统、金财网络系统当年正常运行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当年组织税收征管培训交流4次、财政专业培训不少于2次。</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万30元，预算编制30万元，未进行预算调整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组织税收征管培训交流4次、财政专业培训不少于2次，提升工作人员财政业务能力，强化税收征管工作效率。</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完成当年组织税收征管培训交流与财政专业培训。</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lang w:val="zh-CN"/>
        </w:rPr>
      </w:pPr>
    </w:p>
    <w:p>
      <w:pPr>
        <w:spacing w:line="600" w:lineRule="exact"/>
        <w:jc w:val="center"/>
        <w:rPr>
          <w:rFonts w:hint="eastAsia"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电子票据系统建设委托业务费项目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9"/>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按照以前年度电子票据系统建设委托业务费项目支出立项申报。</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eastAsia="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改变传统纸质票据，提高票据管理效率。</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方便票据使用，操作程序简单、高效。</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我单位按照绩效评价三级指标体系，从质量指标、生态指标和满意度指标等三个方面对该项目开展绩效评价。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万15元，预算编制15万元，未进行预算调整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2020年12月31日，该项目资金15万元全部到位，与资金计划一致，均有财政资金提供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2020年12月31日，该项目资金15万元均已支出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提高票据管理效率，使用方便快捷。</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left="638" w:leftChars="304" w:firstLine="454" w:firstLineChars="142"/>
        <w:rPr>
          <w:rFonts w:hint="eastAsia" w:ascii="仿宋_GB2312" w:hAnsi="宋体"/>
          <w:sz w:val="32"/>
          <w:szCs w:val="32"/>
          <w:lang w:val="zh-CN"/>
        </w:rPr>
      </w:pPr>
      <w:r>
        <w:rPr>
          <w:rFonts w:hint="eastAsia" w:ascii="仿宋_GB2312" w:hAnsi="宋体"/>
          <w:sz w:val="32"/>
          <w:szCs w:val="32"/>
          <w:lang w:val="zh-CN"/>
        </w:rPr>
        <w:t>票据管理的电子化升级，提高票据管理效率，使用方便快捷。</w:t>
      </w:r>
    </w:p>
    <w:p>
      <w:pPr>
        <w:adjustRightInd w:val="0"/>
        <w:snapToGrid w:val="0"/>
        <w:spacing w:line="600" w:lineRule="exact"/>
        <w:ind w:firstLine="643" w:firstLineChars="20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rFonts w:hint="eastAsia" w:ascii="仿宋_GB2312" w:hAnsi="宋体" w:eastAsia="仿宋_GB2312"/>
          <w:sz w:val="32"/>
          <w:szCs w:val="32"/>
          <w:lang w:val="zh-CN"/>
        </w:rPr>
      </w:pP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eastAsia="zh-CN"/>
        </w:rPr>
        <w:t>国库收付管理运行</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snapToGrid w:val="0"/>
        <w:spacing w:line="520" w:lineRule="exact"/>
        <w:ind w:firstLine="640" w:firstLineChars="200"/>
        <w:rPr>
          <w:rFonts w:ascii="仿宋_GB2312" w:hAnsi="宋体" w:eastAsia="仿宋_GB2312"/>
          <w:sz w:val="32"/>
          <w:szCs w:val="32"/>
          <w:lang w:val="zh-CN"/>
        </w:rPr>
      </w:pPr>
      <w:r>
        <w:rPr>
          <w:rFonts w:hint="eastAsia" w:ascii="仿宋_GB2312" w:eastAsia="仿宋_GB2312"/>
          <w:sz w:val="32"/>
          <w:szCs w:val="32"/>
        </w:rPr>
        <w:t>组织和指导全区预算会计工作；组织预算执行，提出预算执行分析；对区本级总预算、部门预算和单位预算的执行实施会计监督。制订全区国库管理制度、国库集中收付制度；负责预算单位用款计划下达，国库资金（含财政专户管理资金）支付、清算及账务处理；负责管理国库单一账户体系及其核算；负责预算单位银行账户开立的审批、年检、变更、撤销；负责审核汇编全区部门决算和编制区本级年度财政总决算，批复区级部门决算；办理国债转贷资金的拨付</w:t>
      </w:r>
      <w:r>
        <w:rPr>
          <w:rFonts w:hint="eastAsia" w:ascii="仿宋_GB2312" w:eastAsia="仿宋_GB2312"/>
          <w:i/>
          <w:sz w:val="32"/>
          <w:szCs w:val="32"/>
        </w:rPr>
        <w:t>。</w:t>
      </w:r>
    </w:p>
    <w:p>
      <w:pPr>
        <w:numPr>
          <w:ilvl w:val="0"/>
          <w:numId w:val="9"/>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按照以前年度国库集中支付的笔数。</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9"/>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解决资金层层拨付、环节过多效率低下的问题</w:t>
      </w:r>
      <w:r>
        <w:rPr>
          <w:rFonts w:hint="eastAsia" w:ascii="仿宋_GB2312" w:hAnsi="宋体"/>
          <w:sz w:val="32"/>
          <w:szCs w:val="32"/>
          <w:lang w:val="zh-CN" w:eastAsia="zh-CN"/>
        </w:rPr>
        <w:t>。</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打印直接支付的笔数大于1500</w:t>
      </w:r>
      <w:r>
        <w:rPr>
          <w:rFonts w:hint="eastAsia" w:ascii="仿宋_GB2312" w:hAnsi="宋体"/>
          <w:sz w:val="32"/>
          <w:szCs w:val="32"/>
          <w:lang w:val="zh-CN"/>
        </w:rPr>
        <w:t>笔</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10万元，预算编制10万元，未进行预算调整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2020年12月31日，该项目资金10万元全部到位，与资金计划一直，均有财政资金提供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打印直接支付票据和授权支付票据及金财系统相关的费用。</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打印直接支付的笔数大于1500</w:t>
      </w:r>
      <w:r>
        <w:rPr>
          <w:rFonts w:hint="eastAsia" w:ascii="仿宋_GB2312" w:hAnsi="宋体"/>
          <w:sz w:val="32"/>
          <w:szCs w:val="32"/>
          <w:lang w:val="zh-CN"/>
        </w:rPr>
        <w:t>笔。保障全区金财网的正常运行。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95%</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spacing w:before="93"/>
      </w:pPr>
    </w:p>
    <w:p>
      <w:pPr>
        <w:pStyle w:val="2"/>
        <w:spacing w:before="93"/>
      </w:pPr>
    </w:p>
    <w:p>
      <w:pPr>
        <w:pStyle w:val="2"/>
        <w:spacing w:before="93"/>
      </w:pPr>
    </w:p>
    <w:p>
      <w:pPr>
        <w:spacing w:line="600" w:lineRule="exact"/>
        <w:jc w:val="center"/>
        <w:outlineLvl w:val="0"/>
        <w:rPr>
          <w:rFonts w:hint="eastAsia" w:ascii="黑体" w:hAnsi="黑体" w:eastAsia="黑体"/>
          <w:color w:val="000000"/>
          <w:sz w:val="44"/>
          <w:szCs w:val="44"/>
        </w:rPr>
      </w:pPr>
      <w:bookmarkStart w:id="75" w:name="_Toc15396618"/>
      <w:bookmarkStart w:id="76" w:name="_Toc105078723"/>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Style w:val="26"/>
          <w:rFonts w:ascii="黑体" w:hAnsi="黑体" w:eastAsia="黑体"/>
          <w:b w:val="0"/>
        </w:rPr>
      </w:pPr>
      <w:r>
        <w:rPr>
          <w:rFonts w:hint="eastAsia" w:ascii="黑体" w:hAnsi="黑体" w:eastAsia="黑体"/>
          <w:color w:val="000000"/>
          <w:sz w:val="44"/>
          <w:szCs w:val="44"/>
        </w:rPr>
        <w:t>第</w:t>
      </w:r>
      <w:r>
        <w:rPr>
          <w:rStyle w:val="26"/>
          <w:rFonts w:hint="eastAsia" w:ascii="黑体" w:hAnsi="黑体" w:eastAsia="黑体"/>
          <w:b w:val="0"/>
        </w:rPr>
        <w:t>五部分 附表</w:t>
      </w:r>
      <w:bookmarkEnd w:id="71"/>
      <w:bookmarkEnd w:id="75"/>
      <w:bookmarkEnd w:id="76"/>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77" w:name="_Toc15396619"/>
      <w:bookmarkStart w:id="78" w:name="_Toc105078724"/>
      <w:r>
        <w:rPr>
          <w:rFonts w:hint="eastAsia" w:ascii="仿宋" w:hAnsi="仿宋" w:eastAsia="仿宋"/>
          <w:b w:val="0"/>
          <w:color w:val="000000"/>
        </w:rPr>
        <w:t>一、收</w:t>
      </w:r>
      <w:r>
        <w:rPr>
          <w:rStyle w:val="27"/>
          <w:rFonts w:hint="eastAsia" w:ascii="仿宋" w:hAnsi="仿宋" w:eastAsia="仿宋"/>
          <w:b w:val="0"/>
          <w:bCs w:val="0"/>
        </w:rPr>
        <w:t>入支出决算总表</w:t>
      </w:r>
      <w:bookmarkEnd w:id="77"/>
      <w:bookmarkEnd w:id="78"/>
    </w:p>
    <w:p>
      <w:pPr>
        <w:pStyle w:val="4"/>
        <w:rPr>
          <w:rFonts w:ascii="仿宋" w:hAnsi="仿宋" w:eastAsia="仿宋"/>
          <w:color w:val="000000"/>
        </w:rPr>
      </w:pPr>
      <w:bookmarkStart w:id="79" w:name="_Toc15396620"/>
      <w:bookmarkStart w:id="80" w:name="_Toc105078725"/>
      <w:r>
        <w:rPr>
          <w:rFonts w:hint="eastAsia" w:ascii="仿宋" w:hAnsi="仿宋" w:eastAsia="仿宋"/>
          <w:b w:val="0"/>
          <w:color w:val="000000"/>
        </w:rPr>
        <w:t>二、收</w:t>
      </w:r>
      <w:r>
        <w:rPr>
          <w:rStyle w:val="27"/>
          <w:rFonts w:hint="eastAsia" w:ascii="仿宋" w:hAnsi="仿宋" w:eastAsia="仿宋"/>
          <w:b w:val="0"/>
          <w:bCs w:val="0"/>
        </w:rPr>
        <w:t>入决算表</w:t>
      </w:r>
      <w:bookmarkEnd w:id="79"/>
      <w:bookmarkEnd w:id="80"/>
    </w:p>
    <w:p>
      <w:pPr>
        <w:pStyle w:val="4"/>
        <w:rPr>
          <w:rFonts w:ascii="仿宋" w:hAnsi="仿宋" w:eastAsia="仿宋"/>
          <w:color w:val="000000"/>
        </w:rPr>
      </w:pPr>
      <w:bookmarkStart w:id="81" w:name="_Toc15396621"/>
      <w:bookmarkStart w:id="82" w:name="_Toc105078726"/>
      <w:r>
        <w:rPr>
          <w:rStyle w:val="27"/>
          <w:rFonts w:hint="eastAsia" w:ascii="仿宋" w:hAnsi="仿宋" w:eastAsia="仿宋"/>
          <w:b w:val="0"/>
          <w:bCs w:val="0"/>
        </w:rPr>
        <w:t>三、</w:t>
      </w:r>
      <w:r>
        <w:rPr>
          <w:rFonts w:hint="eastAsia" w:ascii="仿宋" w:hAnsi="仿宋" w:eastAsia="仿宋"/>
          <w:b w:val="0"/>
          <w:color w:val="000000"/>
        </w:rPr>
        <w:t>支</w:t>
      </w:r>
      <w:r>
        <w:rPr>
          <w:rStyle w:val="27"/>
          <w:rFonts w:hint="eastAsia" w:ascii="仿宋" w:hAnsi="仿宋" w:eastAsia="仿宋"/>
          <w:b w:val="0"/>
          <w:bCs w:val="0"/>
        </w:rPr>
        <w:t>出决算表</w:t>
      </w:r>
      <w:bookmarkEnd w:id="81"/>
      <w:bookmarkEnd w:id="82"/>
    </w:p>
    <w:p>
      <w:pPr>
        <w:pStyle w:val="4"/>
        <w:rPr>
          <w:rFonts w:ascii="仿宋" w:hAnsi="仿宋" w:eastAsia="仿宋"/>
          <w:b w:val="0"/>
          <w:color w:val="000000"/>
        </w:rPr>
      </w:pPr>
      <w:bookmarkStart w:id="83" w:name="_Toc15396622"/>
      <w:bookmarkStart w:id="84" w:name="_Toc105078727"/>
      <w:r>
        <w:rPr>
          <w:rStyle w:val="27"/>
          <w:rFonts w:hint="eastAsia" w:ascii="仿宋" w:hAnsi="仿宋" w:eastAsia="仿宋"/>
          <w:b w:val="0"/>
          <w:bCs w:val="0"/>
        </w:rPr>
        <w:t>四、</w:t>
      </w:r>
      <w:r>
        <w:rPr>
          <w:rFonts w:hint="eastAsia" w:ascii="仿宋" w:hAnsi="仿宋" w:eastAsia="仿宋"/>
          <w:b w:val="0"/>
          <w:color w:val="000000"/>
        </w:rPr>
        <w:t>财</w:t>
      </w:r>
      <w:r>
        <w:rPr>
          <w:rStyle w:val="27"/>
          <w:rFonts w:hint="eastAsia" w:ascii="仿宋" w:hAnsi="仿宋" w:eastAsia="仿宋"/>
          <w:b w:val="0"/>
          <w:bCs w:val="0"/>
        </w:rPr>
        <w:t>政拨款收入支出决算总表</w:t>
      </w:r>
      <w:bookmarkEnd w:id="83"/>
      <w:bookmarkEnd w:id="84"/>
    </w:p>
    <w:p>
      <w:pPr>
        <w:pStyle w:val="4"/>
        <w:rPr>
          <w:rStyle w:val="27"/>
          <w:rFonts w:ascii="仿宋" w:hAnsi="仿宋" w:eastAsia="仿宋"/>
          <w:b w:val="0"/>
          <w:bCs w:val="0"/>
        </w:rPr>
      </w:pPr>
      <w:bookmarkStart w:id="85" w:name="_Toc15396623"/>
      <w:bookmarkStart w:id="86" w:name="_Toc105078728"/>
      <w:r>
        <w:rPr>
          <w:rStyle w:val="27"/>
          <w:rFonts w:hint="eastAsia" w:ascii="仿宋" w:hAnsi="仿宋" w:eastAsia="仿宋"/>
          <w:b w:val="0"/>
          <w:bCs w:val="0"/>
        </w:rPr>
        <w:t>五、</w:t>
      </w:r>
      <w:r>
        <w:rPr>
          <w:rFonts w:hint="eastAsia" w:ascii="仿宋" w:hAnsi="仿宋" w:eastAsia="仿宋"/>
          <w:b w:val="0"/>
          <w:color w:val="000000"/>
        </w:rPr>
        <w:t>财</w:t>
      </w:r>
      <w:r>
        <w:rPr>
          <w:rStyle w:val="27"/>
          <w:rFonts w:hint="eastAsia" w:ascii="仿宋" w:hAnsi="仿宋" w:eastAsia="仿宋"/>
          <w:b w:val="0"/>
          <w:bCs w:val="0"/>
        </w:rPr>
        <w:t>政拨款支出决算明细表</w:t>
      </w:r>
      <w:bookmarkEnd w:id="85"/>
      <w:bookmarkEnd w:id="86"/>
      <w:bookmarkStart w:id="87" w:name="_Toc15396624"/>
    </w:p>
    <w:p>
      <w:pPr>
        <w:pStyle w:val="4"/>
        <w:rPr>
          <w:rFonts w:ascii="仿宋" w:hAnsi="仿宋" w:eastAsia="仿宋"/>
          <w:color w:val="000000"/>
        </w:rPr>
      </w:pPr>
      <w:bookmarkStart w:id="88" w:name="_Toc105078729"/>
      <w:r>
        <w:rPr>
          <w:rStyle w:val="27"/>
          <w:rFonts w:hint="eastAsia" w:ascii="仿宋" w:hAnsi="仿宋" w:eastAsia="仿宋"/>
          <w:b w:val="0"/>
          <w:bCs w:val="0"/>
        </w:rPr>
        <w:t>六、</w:t>
      </w:r>
      <w:r>
        <w:rPr>
          <w:rFonts w:hint="eastAsia" w:ascii="仿宋" w:hAnsi="仿宋" w:eastAsia="仿宋"/>
          <w:b w:val="0"/>
          <w:color w:val="000000"/>
        </w:rPr>
        <w:t>一</w:t>
      </w:r>
      <w:r>
        <w:rPr>
          <w:rStyle w:val="27"/>
          <w:rFonts w:hint="eastAsia" w:ascii="仿宋" w:hAnsi="仿宋" w:eastAsia="仿宋"/>
          <w:b w:val="0"/>
          <w:bCs w:val="0"/>
        </w:rPr>
        <w:t>般公共预算财政拨款支出决算表</w:t>
      </w:r>
      <w:bookmarkEnd w:id="87"/>
      <w:bookmarkEnd w:id="88"/>
    </w:p>
    <w:p>
      <w:pPr>
        <w:pStyle w:val="4"/>
        <w:rPr>
          <w:rFonts w:ascii="仿宋" w:hAnsi="仿宋" w:eastAsia="仿宋"/>
          <w:color w:val="000000"/>
        </w:rPr>
      </w:pPr>
      <w:bookmarkStart w:id="89" w:name="_Toc15396625"/>
      <w:bookmarkStart w:id="90" w:name="_Toc105078730"/>
      <w:r>
        <w:rPr>
          <w:rStyle w:val="27"/>
          <w:rFonts w:hint="eastAsia" w:ascii="仿宋" w:hAnsi="仿宋" w:eastAsia="仿宋"/>
          <w:b w:val="0"/>
          <w:bCs w:val="0"/>
        </w:rPr>
        <w:t>七、</w:t>
      </w:r>
      <w:r>
        <w:rPr>
          <w:rFonts w:hint="eastAsia" w:ascii="仿宋" w:hAnsi="仿宋" w:eastAsia="仿宋"/>
          <w:b w:val="0"/>
          <w:color w:val="000000"/>
        </w:rPr>
        <w:t>一</w:t>
      </w:r>
      <w:r>
        <w:rPr>
          <w:rStyle w:val="27"/>
          <w:rFonts w:hint="eastAsia" w:ascii="仿宋" w:hAnsi="仿宋" w:eastAsia="仿宋"/>
          <w:b w:val="0"/>
          <w:bCs w:val="0"/>
        </w:rPr>
        <w:t>般公共预算财政拨款支出决算明细表</w:t>
      </w:r>
      <w:bookmarkEnd w:id="89"/>
      <w:bookmarkEnd w:id="90"/>
    </w:p>
    <w:p>
      <w:pPr>
        <w:pStyle w:val="4"/>
        <w:rPr>
          <w:rFonts w:ascii="仿宋" w:hAnsi="仿宋" w:eastAsia="仿宋"/>
          <w:color w:val="000000"/>
        </w:rPr>
      </w:pPr>
      <w:bookmarkStart w:id="91" w:name="_Toc15396626"/>
      <w:bookmarkStart w:id="92" w:name="_Toc105078731"/>
      <w:r>
        <w:rPr>
          <w:rStyle w:val="27"/>
          <w:rFonts w:hint="eastAsia" w:ascii="仿宋" w:hAnsi="仿宋" w:eastAsia="仿宋"/>
          <w:b w:val="0"/>
          <w:bCs w:val="0"/>
        </w:rPr>
        <w:t>八、</w:t>
      </w:r>
      <w:r>
        <w:rPr>
          <w:rFonts w:hint="eastAsia" w:ascii="仿宋" w:hAnsi="仿宋" w:eastAsia="仿宋"/>
          <w:b w:val="0"/>
          <w:color w:val="000000"/>
        </w:rPr>
        <w:t>一</w:t>
      </w:r>
      <w:r>
        <w:rPr>
          <w:rStyle w:val="27"/>
          <w:rFonts w:hint="eastAsia" w:ascii="仿宋" w:hAnsi="仿宋" w:eastAsia="仿宋"/>
          <w:b w:val="0"/>
          <w:bCs w:val="0"/>
        </w:rPr>
        <w:t>般公共预算财政拨款基本支出决算表</w:t>
      </w:r>
      <w:bookmarkEnd w:id="91"/>
      <w:bookmarkEnd w:id="92"/>
    </w:p>
    <w:p>
      <w:pPr>
        <w:pStyle w:val="4"/>
        <w:rPr>
          <w:rFonts w:ascii="仿宋" w:hAnsi="仿宋" w:eastAsia="仿宋"/>
          <w:color w:val="000000"/>
        </w:rPr>
      </w:pPr>
      <w:bookmarkStart w:id="93" w:name="_Toc15396627"/>
      <w:bookmarkStart w:id="94" w:name="_Toc105078732"/>
      <w:r>
        <w:rPr>
          <w:rStyle w:val="27"/>
          <w:rFonts w:hint="eastAsia" w:ascii="仿宋" w:hAnsi="仿宋" w:eastAsia="仿宋"/>
          <w:b w:val="0"/>
          <w:bCs w:val="0"/>
        </w:rPr>
        <w:t>九、</w:t>
      </w:r>
      <w:r>
        <w:rPr>
          <w:rFonts w:hint="eastAsia" w:ascii="仿宋" w:hAnsi="仿宋" w:eastAsia="仿宋"/>
          <w:b w:val="0"/>
          <w:color w:val="000000"/>
        </w:rPr>
        <w:t>一</w:t>
      </w:r>
      <w:r>
        <w:rPr>
          <w:rStyle w:val="27"/>
          <w:rFonts w:hint="eastAsia" w:ascii="仿宋" w:hAnsi="仿宋" w:eastAsia="仿宋"/>
          <w:b w:val="0"/>
          <w:bCs w:val="0"/>
        </w:rPr>
        <w:t>般公共预算财政拨款项目支出决算表</w:t>
      </w:r>
      <w:bookmarkEnd w:id="93"/>
      <w:bookmarkEnd w:id="94"/>
    </w:p>
    <w:p>
      <w:pPr>
        <w:pStyle w:val="4"/>
        <w:rPr>
          <w:rFonts w:ascii="仿宋" w:hAnsi="仿宋" w:eastAsia="仿宋"/>
          <w:color w:val="000000"/>
        </w:rPr>
      </w:pPr>
      <w:bookmarkStart w:id="95" w:name="_Toc15396628"/>
      <w:bookmarkStart w:id="96" w:name="_Toc105078733"/>
      <w:r>
        <w:rPr>
          <w:rStyle w:val="27"/>
          <w:rFonts w:hint="eastAsia" w:ascii="仿宋" w:hAnsi="仿宋" w:eastAsia="仿宋"/>
          <w:b w:val="0"/>
          <w:bCs w:val="0"/>
        </w:rPr>
        <w:t>十、</w:t>
      </w:r>
      <w:r>
        <w:rPr>
          <w:rFonts w:hint="eastAsia" w:ascii="仿宋" w:hAnsi="仿宋" w:eastAsia="仿宋"/>
          <w:b w:val="0"/>
          <w:color w:val="000000"/>
        </w:rPr>
        <w:t>一</w:t>
      </w:r>
      <w:r>
        <w:rPr>
          <w:rStyle w:val="27"/>
          <w:rFonts w:hint="eastAsia" w:ascii="仿宋" w:hAnsi="仿宋" w:eastAsia="仿宋"/>
          <w:b w:val="0"/>
          <w:bCs w:val="0"/>
        </w:rPr>
        <w:t>般公共预算财政拨款“三公”经费支出决算表</w:t>
      </w:r>
      <w:bookmarkEnd w:id="95"/>
      <w:bookmarkEnd w:id="96"/>
    </w:p>
    <w:p>
      <w:pPr>
        <w:pStyle w:val="4"/>
        <w:rPr>
          <w:rFonts w:ascii="仿宋" w:hAnsi="仿宋" w:eastAsia="仿宋"/>
          <w:color w:val="000000"/>
        </w:rPr>
      </w:pPr>
      <w:bookmarkStart w:id="97" w:name="_Toc15396629"/>
      <w:bookmarkStart w:id="98" w:name="_Toc105078734"/>
      <w:r>
        <w:rPr>
          <w:rStyle w:val="27"/>
          <w:rFonts w:hint="eastAsia" w:ascii="仿宋" w:hAnsi="仿宋" w:eastAsia="仿宋"/>
          <w:b w:val="0"/>
          <w:bCs w:val="0"/>
        </w:rPr>
        <w:t>十一、</w:t>
      </w:r>
      <w:r>
        <w:rPr>
          <w:rFonts w:hint="eastAsia" w:ascii="仿宋" w:hAnsi="仿宋" w:eastAsia="仿宋"/>
          <w:b w:val="0"/>
          <w:color w:val="000000"/>
        </w:rPr>
        <w:t>政</w:t>
      </w:r>
      <w:r>
        <w:rPr>
          <w:rStyle w:val="27"/>
          <w:rFonts w:hint="eastAsia" w:ascii="仿宋" w:hAnsi="仿宋" w:eastAsia="仿宋"/>
          <w:b w:val="0"/>
          <w:bCs w:val="0"/>
        </w:rPr>
        <w:t>府性基金预算财政拨款收入支出决算表</w:t>
      </w:r>
      <w:bookmarkEnd w:id="97"/>
      <w:bookmarkEnd w:id="98"/>
    </w:p>
    <w:p>
      <w:pPr>
        <w:pStyle w:val="4"/>
        <w:rPr>
          <w:rFonts w:ascii="仿宋" w:hAnsi="仿宋" w:eastAsia="仿宋"/>
          <w:color w:val="000000"/>
        </w:rPr>
      </w:pPr>
      <w:bookmarkStart w:id="99" w:name="_Toc15396630"/>
      <w:bookmarkStart w:id="100" w:name="_Toc105078735"/>
      <w:r>
        <w:rPr>
          <w:rStyle w:val="27"/>
          <w:rFonts w:hint="eastAsia" w:ascii="仿宋" w:hAnsi="仿宋" w:eastAsia="仿宋"/>
          <w:b w:val="0"/>
          <w:bCs w:val="0"/>
        </w:rPr>
        <w:t>十二、</w:t>
      </w:r>
      <w:r>
        <w:rPr>
          <w:rFonts w:hint="eastAsia" w:ascii="仿宋" w:hAnsi="仿宋" w:eastAsia="仿宋"/>
          <w:b w:val="0"/>
          <w:color w:val="000000"/>
        </w:rPr>
        <w:t>政</w:t>
      </w:r>
      <w:r>
        <w:rPr>
          <w:rStyle w:val="27"/>
          <w:rFonts w:hint="eastAsia" w:ascii="仿宋" w:hAnsi="仿宋" w:eastAsia="仿宋"/>
          <w:b w:val="0"/>
          <w:bCs w:val="0"/>
        </w:rPr>
        <w:t>府性基金预算财政拨款“三公”经费支出决算表</w:t>
      </w:r>
      <w:bookmarkEnd w:id="99"/>
      <w:bookmarkEnd w:id="100"/>
    </w:p>
    <w:p>
      <w:pPr>
        <w:pStyle w:val="4"/>
        <w:rPr>
          <w:rFonts w:ascii="仿宋" w:hAnsi="仿宋" w:eastAsia="仿宋"/>
          <w:color w:val="000000" w:themeColor="text1"/>
        </w:rPr>
      </w:pPr>
      <w:bookmarkStart w:id="101" w:name="_Toc15396631"/>
      <w:bookmarkStart w:id="102" w:name="_Toc105078736"/>
      <w:r>
        <w:rPr>
          <w:rStyle w:val="27"/>
          <w:rFonts w:hint="eastAsia" w:ascii="仿宋" w:hAnsi="仿宋" w:eastAsia="仿宋"/>
          <w:b w:val="0"/>
          <w:bCs w:val="0"/>
        </w:rPr>
        <w:t>十三、</w:t>
      </w:r>
      <w:r>
        <w:rPr>
          <w:rFonts w:hint="eastAsia" w:ascii="仿宋" w:hAnsi="仿宋" w:eastAsia="仿宋"/>
          <w:b w:val="0"/>
          <w:color w:val="000000"/>
        </w:rPr>
        <w:t>国</w:t>
      </w:r>
      <w:r>
        <w:rPr>
          <w:rStyle w:val="27"/>
          <w:rFonts w:hint="eastAsia" w:ascii="仿宋" w:hAnsi="仿宋" w:eastAsia="仿宋"/>
          <w:b w:val="0"/>
          <w:bCs w:val="0"/>
        </w:rPr>
        <w:t>有资本经营预算支出决算表</w:t>
      </w:r>
      <w:bookmarkEnd w:id="101"/>
      <w:bookmarkEnd w:id="102"/>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3073" o:spid="_x0000_s3073"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1178724663"/>
                  <w:docPartObj>
                    <w:docPartGallery w:val="autotext"/>
                  </w:docPartObj>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3074" o:spid="_x0000_s307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sdt>
                <w:sdtPr>
                  <w:id w:val="1466083151"/>
                  <w:docPartObj>
                    <w:docPartGallery w:val="autotext"/>
                  </w:docPartObj>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798BE"/>
    <w:multiLevelType w:val="singleLevel"/>
    <w:tmpl w:val="B73798BE"/>
    <w:lvl w:ilvl="0" w:tentative="0">
      <w:start w:val="2"/>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033F990"/>
    <w:multiLevelType w:val="singleLevel"/>
    <w:tmpl w:val="2033F990"/>
    <w:lvl w:ilvl="0" w:tentative="0">
      <w:start w:val="2"/>
      <w:numFmt w:val="chineseCounting"/>
      <w:suff w:val="nothing"/>
      <w:lvlText w:val="（%1）"/>
      <w:lvlJc w:val="left"/>
      <w:rPr>
        <w:rFonts w:hint="eastAsia"/>
      </w:rPr>
    </w:lvl>
  </w:abstractNum>
  <w:abstractNum w:abstractNumId="5">
    <w:nsid w:val="50D54EF6"/>
    <w:multiLevelType w:val="singleLevel"/>
    <w:tmpl w:val="50D54EF6"/>
    <w:lvl w:ilvl="0" w:tentative="0">
      <w:start w:val="1"/>
      <w:numFmt w:val="decimal"/>
      <w:lvlText w:val="%1."/>
      <w:lvlJc w:val="left"/>
      <w:pPr>
        <w:tabs>
          <w:tab w:val="left" w:pos="312"/>
        </w:tabs>
      </w:pPr>
    </w:lvl>
  </w:abstractNum>
  <w:abstractNum w:abstractNumId="6">
    <w:nsid w:val="62621CDC"/>
    <w:multiLevelType w:val="multilevel"/>
    <w:tmpl w:val="62621CDC"/>
    <w:lvl w:ilvl="0" w:tentative="0">
      <w:start w:val="1"/>
      <w:numFmt w:val="decimal"/>
      <w:lvlText w:val="%1."/>
      <w:lvlJc w:val="left"/>
      <w:pPr>
        <w:ind w:left="1152" w:hanging="480"/>
      </w:pPr>
      <w:rPr>
        <w:rFonts w:hint="default" w:cs="Times New Roman"/>
      </w:rPr>
    </w:lvl>
    <w:lvl w:ilvl="1" w:tentative="0">
      <w:start w:val="1"/>
      <w:numFmt w:val="lowerLetter"/>
      <w:lvlText w:val="%2)"/>
      <w:lvlJc w:val="left"/>
      <w:pPr>
        <w:ind w:left="1512" w:hanging="420"/>
      </w:pPr>
      <w:rPr>
        <w:rFonts w:cs="Times New Roman"/>
      </w:rPr>
    </w:lvl>
    <w:lvl w:ilvl="2" w:tentative="0">
      <w:start w:val="1"/>
      <w:numFmt w:val="lowerRoman"/>
      <w:lvlText w:val="%3."/>
      <w:lvlJc w:val="right"/>
      <w:pPr>
        <w:ind w:left="1932" w:hanging="420"/>
      </w:pPr>
      <w:rPr>
        <w:rFonts w:cs="Times New Roman"/>
      </w:rPr>
    </w:lvl>
    <w:lvl w:ilvl="3" w:tentative="0">
      <w:start w:val="1"/>
      <w:numFmt w:val="decimal"/>
      <w:lvlText w:val="%4."/>
      <w:lvlJc w:val="left"/>
      <w:pPr>
        <w:ind w:left="2352" w:hanging="420"/>
      </w:pPr>
      <w:rPr>
        <w:rFonts w:cs="Times New Roman"/>
      </w:rPr>
    </w:lvl>
    <w:lvl w:ilvl="4" w:tentative="0">
      <w:start w:val="1"/>
      <w:numFmt w:val="lowerLetter"/>
      <w:lvlText w:val="%5)"/>
      <w:lvlJc w:val="left"/>
      <w:pPr>
        <w:ind w:left="2772" w:hanging="420"/>
      </w:pPr>
      <w:rPr>
        <w:rFonts w:cs="Times New Roman"/>
      </w:rPr>
    </w:lvl>
    <w:lvl w:ilvl="5" w:tentative="0">
      <w:start w:val="1"/>
      <w:numFmt w:val="lowerRoman"/>
      <w:lvlText w:val="%6."/>
      <w:lvlJc w:val="right"/>
      <w:pPr>
        <w:ind w:left="3192" w:hanging="420"/>
      </w:pPr>
      <w:rPr>
        <w:rFonts w:cs="Times New Roman"/>
      </w:rPr>
    </w:lvl>
    <w:lvl w:ilvl="6" w:tentative="0">
      <w:start w:val="1"/>
      <w:numFmt w:val="decimal"/>
      <w:lvlText w:val="%7."/>
      <w:lvlJc w:val="left"/>
      <w:pPr>
        <w:ind w:left="3612" w:hanging="420"/>
      </w:pPr>
      <w:rPr>
        <w:rFonts w:cs="Times New Roman"/>
      </w:rPr>
    </w:lvl>
    <w:lvl w:ilvl="7" w:tentative="0">
      <w:start w:val="1"/>
      <w:numFmt w:val="lowerLetter"/>
      <w:lvlText w:val="%8)"/>
      <w:lvlJc w:val="left"/>
      <w:pPr>
        <w:ind w:left="4032" w:hanging="420"/>
      </w:pPr>
      <w:rPr>
        <w:rFonts w:cs="Times New Roman"/>
      </w:rPr>
    </w:lvl>
    <w:lvl w:ilvl="8" w:tentative="0">
      <w:start w:val="1"/>
      <w:numFmt w:val="lowerRoman"/>
      <w:lvlText w:val="%9."/>
      <w:lvlJc w:val="right"/>
      <w:pPr>
        <w:ind w:left="4452" w:hanging="420"/>
      </w:pPr>
      <w:rPr>
        <w:rFonts w:cs="Times New Roman"/>
      </w:rPr>
    </w:lvl>
  </w:abstractNum>
  <w:abstractNum w:abstractNumId="7">
    <w:nsid w:val="62BBBCD4"/>
    <w:multiLevelType w:val="singleLevel"/>
    <w:tmpl w:val="62BBBCD4"/>
    <w:lvl w:ilvl="0" w:tentative="0">
      <w:start w:val="2"/>
      <w:numFmt w:val="decimal"/>
      <w:suff w:val="nothing"/>
      <w:lvlText w:val="%1．"/>
      <w:lvlJc w:val="left"/>
    </w:lvl>
  </w:abstractNum>
  <w:abstractNum w:abstractNumId="8">
    <w:nsid w:val="7189D503"/>
    <w:multiLevelType w:val="singleLevel"/>
    <w:tmpl w:val="7189D503"/>
    <w:lvl w:ilvl="0" w:tentative="0">
      <w:start w:val="1"/>
      <w:numFmt w:val="decimal"/>
      <w:lvlText w:val="%1."/>
      <w:lvlJc w:val="left"/>
      <w:pPr>
        <w:tabs>
          <w:tab w:val="left" w:pos="312"/>
        </w:tabs>
      </w:pPr>
    </w:lvl>
  </w:abstractNum>
  <w:num w:numId="1">
    <w:abstractNumId w:val="6"/>
  </w:num>
  <w:num w:numId="2">
    <w:abstractNumId w:val="3"/>
  </w:num>
  <w:num w:numId="3">
    <w:abstractNumId w:val="8"/>
  </w:num>
  <w:num w:numId="4">
    <w:abstractNumId w:val="1"/>
  </w:num>
  <w:num w:numId="5">
    <w:abstractNumId w:val="5"/>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ZhOGQ3YzE3ZDlhMzZkZjAxZTc5YmQzOGI0MTY5MTUifQ=="/>
  </w:docVars>
  <w:rsids>
    <w:rsidRoot w:val="00F1361C"/>
    <w:rsid w:val="000222C6"/>
    <w:rsid w:val="0002549F"/>
    <w:rsid w:val="000468DB"/>
    <w:rsid w:val="00062F28"/>
    <w:rsid w:val="0006487A"/>
    <w:rsid w:val="00065F8F"/>
    <w:rsid w:val="000670C3"/>
    <w:rsid w:val="00070A43"/>
    <w:rsid w:val="00075AAA"/>
    <w:rsid w:val="000768F2"/>
    <w:rsid w:val="0008116C"/>
    <w:rsid w:val="0008433B"/>
    <w:rsid w:val="0009184B"/>
    <w:rsid w:val="00094236"/>
    <w:rsid w:val="0009593C"/>
    <w:rsid w:val="00097322"/>
    <w:rsid w:val="000A6A92"/>
    <w:rsid w:val="000B047F"/>
    <w:rsid w:val="000B2899"/>
    <w:rsid w:val="000B5923"/>
    <w:rsid w:val="000B5A48"/>
    <w:rsid w:val="000B6FF3"/>
    <w:rsid w:val="000C3467"/>
    <w:rsid w:val="000C3CA6"/>
    <w:rsid w:val="000C7DD0"/>
    <w:rsid w:val="000D1267"/>
    <w:rsid w:val="000D1D50"/>
    <w:rsid w:val="000D5782"/>
    <w:rsid w:val="000E6613"/>
    <w:rsid w:val="000E7119"/>
    <w:rsid w:val="00114E9B"/>
    <w:rsid w:val="00142216"/>
    <w:rsid w:val="00144D6A"/>
    <w:rsid w:val="0014729F"/>
    <w:rsid w:val="00157BAB"/>
    <w:rsid w:val="001654D1"/>
    <w:rsid w:val="00172B15"/>
    <w:rsid w:val="00174518"/>
    <w:rsid w:val="0018106D"/>
    <w:rsid w:val="001877A7"/>
    <w:rsid w:val="00191536"/>
    <w:rsid w:val="00196687"/>
    <w:rsid w:val="001A0140"/>
    <w:rsid w:val="001C0962"/>
    <w:rsid w:val="001D7531"/>
    <w:rsid w:val="001D7E16"/>
    <w:rsid w:val="001E737D"/>
    <w:rsid w:val="001F0592"/>
    <w:rsid w:val="001F7506"/>
    <w:rsid w:val="002006CD"/>
    <w:rsid w:val="00202B36"/>
    <w:rsid w:val="00204B7A"/>
    <w:rsid w:val="00204CDE"/>
    <w:rsid w:val="0021101A"/>
    <w:rsid w:val="00216BD1"/>
    <w:rsid w:val="00220536"/>
    <w:rsid w:val="002312E4"/>
    <w:rsid w:val="00235629"/>
    <w:rsid w:val="00260C38"/>
    <w:rsid w:val="002616C0"/>
    <w:rsid w:val="00265372"/>
    <w:rsid w:val="002662AA"/>
    <w:rsid w:val="0027453C"/>
    <w:rsid w:val="00280496"/>
    <w:rsid w:val="00294DC9"/>
    <w:rsid w:val="00295495"/>
    <w:rsid w:val="002A31DE"/>
    <w:rsid w:val="002B2613"/>
    <w:rsid w:val="002B74DE"/>
    <w:rsid w:val="002C714A"/>
    <w:rsid w:val="002D19B0"/>
    <w:rsid w:val="002D6D05"/>
    <w:rsid w:val="002F05EC"/>
    <w:rsid w:val="002F1818"/>
    <w:rsid w:val="002F4A38"/>
    <w:rsid w:val="002F567B"/>
    <w:rsid w:val="003216A9"/>
    <w:rsid w:val="00324F04"/>
    <w:rsid w:val="00335A74"/>
    <w:rsid w:val="00356FA7"/>
    <w:rsid w:val="00364B9E"/>
    <w:rsid w:val="0036561B"/>
    <w:rsid w:val="0037013F"/>
    <w:rsid w:val="0037148D"/>
    <w:rsid w:val="00371A75"/>
    <w:rsid w:val="00380C92"/>
    <w:rsid w:val="00381940"/>
    <w:rsid w:val="003A484F"/>
    <w:rsid w:val="003A4883"/>
    <w:rsid w:val="003A5662"/>
    <w:rsid w:val="003A5E17"/>
    <w:rsid w:val="003B0BE0"/>
    <w:rsid w:val="003B0C1B"/>
    <w:rsid w:val="003B688C"/>
    <w:rsid w:val="003C0291"/>
    <w:rsid w:val="003C39AE"/>
    <w:rsid w:val="003C7B60"/>
    <w:rsid w:val="003D0C0F"/>
    <w:rsid w:val="003D1FB2"/>
    <w:rsid w:val="003D66DA"/>
    <w:rsid w:val="003E1310"/>
    <w:rsid w:val="003E6F55"/>
    <w:rsid w:val="00406254"/>
    <w:rsid w:val="00416CD4"/>
    <w:rsid w:val="004223DE"/>
    <w:rsid w:val="00434489"/>
    <w:rsid w:val="00437085"/>
    <w:rsid w:val="00443880"/>
    <w:rsid w:val="004464F4"/>
    <w:rsid w:val="00471401"/>
    <w:rsid w:val="00473F31"/>
    <w:rsid w:val="0048263A"/>
    <w:rsid w:val="00487E5D"/>
    <w:rsid w:val="004979CE"/>
    <w:rsid w:val="004A711F"/>
    <w:rsid w:val="004B199D"/>
    <w:rsid w:val="004B4690"/>
    <w:rsid w:val="004C5BF5"/>
    <w:rsid w:val="004E0A2D"/>
    <w:rsid w:val="004E206B"/>
    <w:rsid w:val="004E6DF7"/>
    <w:rsid w:val="004F0FBD"/>
    <w:rsid w:val="004F403E"/>
    <w:rsid w:val="00505A47"/>
    <w:rsid w:val="00512FDA"/>
    <w:rsid w:val="00520DA0"/>
    <w:rsid w:val="005664BB"/>
    <w:rsid w:val="00566FFA"/>
    <w:rsid w:val="0057481D"/>
    <w:rsid w:val="00575F0B"/>
    <w:rsid w:val="005766E6"/>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24471"/>
    <w:rsid w:val="00630AEF"/>
    <w:rsid w:val="006325F8"/>
    <w:rsid w:val="00633463"/>
    <w:rsid w:val="00634C9A"/>
    <w:rsid w:val="006357C9"/>
    <w:rsid w:val="006440E4"/>
    <w:rsid w:val="006530AF"/>
    <w:rsid w:val="0066343B"/>
    <w:rsid w:val="00664777"/>
    <w:rsid w:val="006748A4"/>
    <w:rsid w:val="00681371"/>
    <w:rsid w:val="00681A31"/>
    <w:rsid w:val="00683E73"/>
    <w:rsid w:val="00692A60"/>
    <w:rsid w:val="00695823"/>
    <w:rsid w:val="006A3141"/>
    <w:rsid w:val="006A5E34"/>
    <w:rsid w:val="006B2422"/>
    <w:rsid w:val="006B2B9A"/>
    <w:rsid w:val="006C1937"/>
    <w:rsid w:val="006D428B"/>
    <w:rsid w:val="006F020C"/>
    <w:rsid w:val="007127B7"/>
    <w:rsid w:val="00712E1E"/>
    <w:rsid w:val="0071798E"/>
    <w:rsid w:val="0072558F"/>
    <w:rsid w:val="00727533"/>
    <w:rsid w:val="007416B6"/>
    <w:rsid w:val="00746F48"/>
    <w:rsid w:val="00747823"/>
    <w:rsid w:val="0075404D"/>
    <w:rsid w:val="0076182A"/>
    <w:rsid w:val="00767B7E"/>
    <w:rsid w:val="007770C3"/>
    <w:rsid w:val="00784D24"/>
    <w:rsid w:val="00785FBA"/>
    <w:rsid w:val="00786E4A"/>
    <w:rsid w:val="007875EB"/>
    <w:rsid w:val="0079426B"/>
    <w:rsid w:val="007B01E6"/>
    <w:rsid w:val="007D1682"/>
    <w:rsid w:val="007D312A"/>
    <w:rsid w:val="007D3F19"/>
    <w:rsid w:val="007E23B0"/>
    <w:rsid w:val="007F1991"/>
    <w:rsid w:val="007F2C2F"/>
    <w:rsid w:val="007F55FC"/>
    <w:rsid w:val="007F5665"/>
    <w:rsid w:val="00800112"/>
    <w:rsid w:val="00813348"/>
    <w:rsid w:val="008253BB"/>
    <w:rsid w:val="00831564"/>
    <w:rsid w:val="00833962"/>
    <w:rsid w:val="0083706E"/>
    <w:rsid w:val="008408F6"/>
    <w:rsid w:val="008423A5"/>
    <w:rsid w:val="00843842"/>
    <w:rsid w:val="00850625"/>
    <w:rsid w:val="00853718"/>
    <w:rsid w:val="00855221"/>
    <w:rsid w:val="00860645"/>
    <w:rsid w:val="00871F71"/>
    <w:rsid w:val="00872FD8"/>
    <w:rsid w:val="00882C76"/>
    <w:rsid w:val="00882EF2"/>
    <w:rsid w:val="00885AF4"/>
    <w:rsid w:val="008939CD"/>
    <w:rsid w:val="008B768C"/>
    <w:rsid w:val="008C4DB1"/>
    <w:rsid w:val="008C4EAF"/>
    <w:rsid w:val="008C5176"/>
    <w:rsid w:val="008C7FD0"/>
    <w:rsid w:val="008E1DE7"/>
    <w:rsid w:val="008E707C"/>
    <w:rsid w:val="00900B08"/>
    <w:rsid w:val="00902155"/>
    <w:rsid w:val="0090263E"/>
    <w:rsid w:val="00902FA3"/>
    <w:rsid w:val="00923564"/>
    <w:rsid w:val="0092392E"/>
    <w:rsid w:val="009315F9"/>
    <w:rsid w:val="00933499"/>
    <w:rsid w:val="00935C98"/>
    <w:rsid w:val="0093674A"/>
    <w:rsid w:val="009377D7"/>
    <w:rsid w:val="00946945"/>
    <w:rsid w:val="00951248"/>
    <w:rsid w:val="0095152F"/>
    <w:rsid w:val="00954C49"/>
    <w:rsid w:val="00955E37"/>
    <w:rsid w:val="00961F14"/>
    <w:rsid w:val="009637BA"/>
    <w:rsid w:val="0097099F"/>
    <w:rsid w:val="00971997"/>
    <w:rsid w:val="00971FFC"/>
    <w:rsid w:val="009727A6"/>
    <w:rsid w:val="00973E5C"/>
    <w:rsid w:val="0098603A"/>
    <w:rsid w:val="0098660A"/>
    <w:rsid w:val="009875D9"/>
    <w:rsid w:val="009931C3"/>
    <w:rsid w:val="009974F7"/>
    <w:rsid w:val="009A12A7"/>
    <w:rsid w:val="009A6428"/>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19CF"/>
    <w:rsid w:val="00A237D8"/>
    <w:rsid w:val="00A268C4"/>
    <w:rsid w:val="00A307CD"/>
    <w:rsid w:val="00A331C8"/>
    <w:rsid w:val="00A35117"/>
    <w:rsid w:val="00A40A00"/>
    <w:rsid w:val="00A4142F"/>
    <w:rsid w:val="00A422EB"/>
    <w:rsid w:val="00A45BB7"/>
    <w:rsid w:val="00A53CBD"/>
    <w:rsid w:val="00A56DF2"/>
    <w:rsid w:val="00A56E6E"/>
    <w:rsid w:val="00A67AB5"/>
    <w:rsid w:val="00A70436"/>
    <w:rsid w:val="00A733B2"/>
    <w:rsid w:val="00A741C2"/>
    <w:rsid w:val="00A8453C"/>
    <w:rsid w:val="00A91760"/>
    <w:rsid w:val="00A93B00"/>
    <w:rsid w:val="00A93C21"/>
    <w:rsid w:val="00AA4704"/>
    <w:rsid w:val="00AB0121"/>
    <w:rsid w:val="00AB64C9"/>
    <w:rsid w:val="00AC3C6A"/>
    <w:rsid w:val="00AC598B"/>
    <w:rsid w:val="00AD0F83"/>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5CB"/>
    <w:rsid w:val="00B53C56"/>
    <w:rsid w:val="00B57DAF"/>
    <w:rsid w:val="00B65657"/>
    <w:rsid w:val="00B7210F"/>
    <w:rsid w:val="00B770BB"/>
    <w:rsid w:val="00B77EA6"/>
    <w:rsid w:val="00B81598"/>
    <w:rsid w:val="00B841F1"/>
    <w:rsid w:val="00B87745"/>
    <w:rsid w:val="00B944D6"/>
    <w:rsid w:val="00BB4DF0"/>
    <w:rsid w:val="00BC289F"/>
    <w:rsid w:val="00BC2D50"/>
    <w:rsid w:val="00BC5361"/>
    <w:rsid w:val="00BC5460"/>
    <w:rsid w:val="00BC6B50"/>
    <w:rsid w:val="00BD0E25"/>
    <w:rsid w:val="00BD2EF0"/>
    <w:rsid w:val="00BD5D44"/>
    <w:rsid w:val="00BF5BD6"/>
    <w:rsid w:val="00C0313C"/>
    <w:rsid w:val="00C03E31"/>
    <w:rsid w:val="00C0510A"/>
    <w:rsid w:val="00C10119"/>
    <w:rsid w:val="00C204C6"/>
    <w:rsid w:val="00C212CE"/>
    <w:rsid w:val="00C30E69"/>
    <w:rsid w:val="00C30F31"/>
    <w:rsid w:val="00C3113B"/>
    <w:rsid w:val="00C33E72"/>
    <w:rsid w:val="00C354B2"/>
    <w:rsid w:val="00C35554"/>
    <w:rsid w:val="00C40AE6"/>
    <w:rsid w:val="00C42709"/>
    <w:rsid w:val="00C533CC"/>
    <w:rsid w:val="00C5751C"/>
    <w:rsid w:val="00C61BFC"/>
    <w:rsid w:val="00C62B85"/>
    <w:rsid w:val="00C65438"/>
    <w:rsid w:val="00C91CBB"/>
    <w:rsid w:val="00CB4E70"/>
    <w:rsid w:val="00CC09B6"/>
    <w:rsid w:val="00CC666F"/>
    <w:rsid w:val="00CD1E3F"/>
    <w:rsid w:val="00CD33C2"/>
    <w:rsid w:val="00CE44F6"/>
    <w:rsid w:val="00CE49DA"/>
    <w:rsid w:val="00CE7B61"/>
    <w:rsid w:val="00CF6120"/>
    <w:rsid w:val="00CF71B5"/>
    <w:rsid w:val="00D00095"/>
    <w:rsid w:val="00D114F0"/>
    <w:rsid w:val="00D20620"/>
    <w:rsid w:val="00D22DB0"/>
    <w:rsid w:val="00D239FA"/>
    <w:rsid w:val="00D243BA"/>
    <w:rsid w:val="00D254F7"/>
    <w:rsid w:val="00D26091"/>
    <w:rsid w:val="00D2685C"/>
    <w:rsid w:val="00D34E7C"/>
    <w:rsid w:val="00D35489"/>
    <w:rsid w:val="00D36AFE"/>
    <w:rsid w:val="00D51276"/>
    <w:rsid w:val="00D51C7C"/>
    <w:rsid w:val="00D7035F"/>
    <w:rsid w:val="00DA634F"/>
    <w:rsid w:val="00DA65AC"/>
    <w:rsid w:val="00DB1913"/>
    <w:rsid w:val="00DC410D"/>
    <w:rsid w:val="00DC5A81"/>
    <w:rsid w:val="00DC68CA"/>
    <w:rsid w:val="00DC7CBA"/>
    <w:rsid w:val="00DD73B7"/>
    <w:rsid w:val="00DE2500"/>
    <w:rsid w:val="00DF28BC"/>
    <w:rsid w:val="00DF34B9"/>
    <w:rsid w:val="00E01053"/>
    <w:rsid w:val="00E07ACF"/>
    <w:rsid w:val="00E331A1"/>
    <w:rsid w:val="00E33202"/>
    <w:rsid w:val="00E336A9"/>
    <w:rsid w:val="00E472B1"/>
    <w:rsid w:val="00E50624"/>
    <w:rsid w:val="00E568DF"/>
    <w:rsid w:val="00E64269"/>
    <w:rsid w:val="00E660ED"/>
    <w:rsid w:val="00E66797"/>
    <w:rsid w:val="00E6776E"/>
    <w:rsid w:val="00E82267"/>
    <w:rsid w:val="00E853CE"/>
    <w:rsid w:val="00E867B6"/>
    <w:rsid w:val="00E87F08"/>
    <w:rsid w:val="00EA010F"/>
    <w:rsid w:val="00ED053B"/>
    <w:rsid w:val="00ED1B63"/>
    <w:rsid w:val="00ED3C1F"/>
    <w:rsid w:val="00ED4085"/>
    <w:rsid w:val="00ED420E"/>
    <w:rsid w:val="00ED4BB5"/>
    <w:rsid w:val="00ED6FBE"/>
    <w:rsid w:val="00EE2F57"/>
    <w:rsid w:val="00EE304B"/>
    <w:rsid w:val="00EF4C34"/>
    <w:rsid w:val="00EF77C6"/>
    <w:rsid w:val="00F05438"/>
    <w:rsid w:val="00F10B19"/>
    <w:rsid w:val="00F1361C"/>
    <w:rsid w:val="00F156F0"/>
    <w:rsid w:val="00F160C7"/>
    <w:rsid w:val="00F2408F"/>
    <w:rsid w:val="00F240E9"/>
    <w:rsid w:val="00F25224"/>
    <w:rsid w:val="00F36D8F"/>
    <w:rsid w:val="00F417B1"/>
    <w:rsid w:val="00F45853"/>
    <w:rsid w:val="00F602DF"/>
    <w:rsid w:val="00F754A1"/>
    <w:rsid w:val="00F81FD9"/>
    <w:rsid w:val="00F841AA"/>
    <w:rsid w:val="00F84A94"/>
    <w:rsid w:val="00F87E96"/>
    <w:rsid w:val="00FA23E8"/>
    <w:rsid w:val="00FA4D38"/>
    <w:rsid w:val="00FB1008"/>
    <w:rsid w:val="00FD3CC1"/>
    <w:rsid w:val="00FD694D"/>
    <w:rsid w:val="00FD7F07"/>
    <w:rsid w:val="00FF1E02"/>
    <w:rsid w:val="00FF30B4"/>
    <w:rsid w:val="01B17FBF"/>
    <w:rsid w:val="031A0AC7"/>
    <w:rsid w:val="05AF1529"/>
    <w:rsid w:val="0630024D"/>
    <w:rsid w:val="09D463E3"/>
    <w:rsid w:val="09F17BB2"/>
    <w:rsid w:val="0AA939D3"/>
    <w:rsid w:val="0ABE0E20"/>
    <w:rsid w:val="0AF96957"/>
    <w:rsid w:val="0BD03BEA"/>
    <w:rsid w:val="0CDC61CA"/>
    <w:rsid w:val="0ECC5F9C"/>
    <w:rsid w:val="10290F50"/>
    <w:rsid w:val="10C055FF"/>
    <w:rsid w:val="127D7AEF"/>
    <w:rsid w:val="16BB723D"/>
    <w:rsid w:val="17987E48"/>
    <w:rsid w:val="179F5A15"/>
    <w:rsid w:val="18DA54B1"/>
    <w:rsid w:val="19EA0A38"/>
    <w:rsid w:val="1A5C2784"/>
    <w:rsid w:val="1B70075B"/>
    <w:rsid w:val="1BE56028"/>
    <w:rsid w:val="1E1D2647"/>
    <w:rsid w:val="20070F67"/>
    <w:rsid w:val="239B1764"/>
    <w:rsid w:val="240371BF"/>
    <w:rsid w:val="241070AA"/>
    <w:rsid w:val="2535254F"/>
    <w:rsid w:val="26340E4B"/>
    <w:rsid w:val="29FD04D3"/>
    <w:rsid w:val="2A621048"/>
    <w:rsid w:val="2ABF5496"/>
    <w:rsid w:val="2AE03922"/>
    <w:rsid w:val="2C915945"/>
    <w:rsid w:val="2DE8434E"/>
    <w:rsid w:val="319F7F4E"/>
    <w:rsid w:val="36803AFB"/>
    <w:rsid w:val="36C75048"/>
    <w:rsid w:val="3A291FEF"/>
    <w:rsid w:val="3AAD094C"/>
    <w:rsid w:val="3CA6311D"/>
    <w:rsid w:val="3D007DC8"/>
    <w:rsid w:val="3E3F3EF8"/>
    <w:rsid w:val="3F8454FB"/>
    <w:rsid w:val="400C1A20"/>
    <w:rsid w:val="40BF620E"/>
    <w:rsid w:val="414A793A"/>
    <w:rsid w:val="4339372D"/>
    <w:rsid w:val="43BF47FB"/>
    <w:rsid w:val="43E5262F"/>
    <w:rsid w:val="4463186E"/>
    <w:rsid w:val="455535C1"/>
    <w:rsid w:val="46037733"/>
    <w:rsid w:val="46483FB1"/>
    <w:rsid w:val="482C7ED0"/>
    <w:rsid w:val="48AF0448"/>
    <w:rsid w:val="49704EF2"/>
    <w:rsid w:val="4D4E2C7C"/>
    <w:rsid w:val="4ECE2238"/>
    <w:rsid w:val="4FFD2F97"/>
    <w:rsid w:val="51722457"/>
    <w:rsid w:val="517376EA"/>
    <w:rsid w:val="521A75A9"/>
    <w:rsid w:val="564D03CB"/>
    <w:rsid w:val="572929ED"/>
    <w:rsid w:val="59AE24EE"/>
    <w:rsid w:val="5A552606"/>
    <w:rsid w:val="5B376D33"/>
    <w:rsid w:val="5B3C143B"/>
    <w:rsid w:val="5DF42D91"/>
    <w:rsid w:val="6059349D"/>
    <w:rsid w:val="63924916"/>
    <w:rsid w:val="64CA1742"/>
    <w:rsid w:val="69D23202"/>
    <w:rsid w:val="6AA4003F"/>
    <w:rsid w:val="6B720D72"/>
    <w:rsid w:val="6E496750"/>
    <w:rsid w:val="72734D90"/>
    <w:rsid w:val="75F57A6C"/>
    <w:rsid w:val="76C120A4"/>
    <w:rsid w:val="7B265A44"/>
    <w:rsid w:val="7B52136B"/>
    <w:rsid w:val="7BBD05AB"/>
    <w:rsid w:val="7DCA5325"/>
    <w:rsid w:val="7E000AFC"/>
    <w:rsid w:val="7E5C2F9F"/>
    <w:rsid w:val="7EAF0A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w:basedOn w:val="1"/>
    <w:link w:val="23"/>
    <w:qFormat/>
    <w:uiPriority w:val="99"/>
    <w:pPr>
      <w:spacing w:beforeLines="30"/>
    </w:pPr>
    <w:rPr>
      <w:rFonts w:ascii="仿宋_GB2312" w:eastAsia="仿宋_GB2312"/>
      <w:kern w:val="0"/>
      <w:sz w:val="30"/>
    </w:rPr>
  </w:style>
  <w:style w:type="paragraph" w:styleId="6">
    <w:name w:val="index 5"/>
    <w:basedOn w:val="1"/>
    <w:next w:val="1"/>
    <w:link w:val="32"/>
    <w:qFormat/>
    <w:uiPriority w:val="0"/>
    <w:pPr>
      <w:spacing w:line="590" w:lineRule="exact"/>
      <w:ind w:left="1680"/>
    </w:pPr>
    <w:rPr>
      <w:rFonts w:eastAsia="仿宋_GB2312" w:cs="宋体"/>
      <w:sz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spacing w:before="100" w:beforeAutospacing="1" w:after="100" w:afterAutospacing="1"/>
      <w:jc w:val="left"/>
    </w:pPr>
    <w:rPr>
      <w:rFonts w:asciiTheme="minorHAnsi" w:hAnsiTheme="minorHAnsi" w:eastAsiaTheme="minorEastAsia"/>
      <w:kern w:val="0"/>
      <w:sz w:val="24"/>
    </w:r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字符"/>
    <w:link w:val="10"/>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字符"/>
    <w:link w:val="9"/>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字符"/>
    <w:link w:val="2"/>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字符"/>
    <w:basedOn w:val="15"/>
    <w:link w:val="3"/>
    <w:qFormat/>
    <w:uiPriority w:val="9"/>
    <w:rPr>
      <w:rFonts w:ascii="Times New Roman" w:hAnsi="Times New Roman"/>
      <w:b/>
      <w:bCs/>
      <w:kern w:val="44"/>
      <w:sz w:val="44"/>
      <w:szCs w:val="44"/>
    </w:rPr>
  </w:style>
  <w:style w:type="character" w:customStyle="1" w:styleId="27">
    <w:name w:val="标题 2 字符"/>
    <w:basedOn w:val="15"/>
    <w:link w:val="4"/>
    <w:qFormat/>
    <w:uiPriority w:val="9"/>
    <w:rPr>
      <w:rFonts w:asciiTheme="majorHAnsi" w:hAnsiTheme="majorHAnsi" w:eastAsiaTheme="majorEastAsia" w:cstheme="majorBidi"/>
      <w:b/>
      <w:bCs/>
      <w:kern w:val="2"/>
      <w:sz w:val="32"/>
      <w:szCs w:val="32"/>
    </w:r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9">
    <w:name w:val="批注框文本 字符"/>
    <w:basedOn w:val="15"/>
    <w:link w:val="8"/>
    <w:semiHidden/>
    <w:qFormat/>
    <w:uiPriority w:val="99"/>
    <w:rPr>
      <w:rFonts w:ascii="Times New Roman" w:hAnsi="Times New Roman"/>
      <w:kern w:val="2"/>
      <w:sz w:val="18"/>
      <w:szCs w:val="18"/>
    </w:rPr>
  </w:style>
  <w:style w:type="character" w:customStyle="1" w:styleId="30">
    <w:name w:val="标题 3 字符"/>
    <w:basedOn w:val="15"/>
    <w:link w:val="5"/>
    <w:qFormat/>
    <w:uiPriority w:val="9"/>
    <w:rPr>
      <w:rFonts w:ascii="Times New Roman" w:hAnsi="Times New Roman"/>
      <w:b/>
      <w:bCs/>
      <w:kern w:val="2"/>
      <w:sz w:val="32"/>
      <w:szCs w:val="32"/>
    </w:rPr>
  </w:style>
  <w:style w:type="paragraph" w:customStyle="1" w:styleId="31">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索引 5 字符"/>
    <w:link w:val="6"/>
    <w:qFormat/>
    <w:uiPriority w:val="0"/>
    <w:rPr>
      <w:rFonts w:ascii="Times New Roman" w:hAnsi="Times New Roman" w:eastAsia="仿宋_GB2312" w:cs="宋体"/>
      <w:sz w:val="32"/>
    </w:rPr>
  </w:style>
  <w:style w:type="character" w:customStyle="1" w:styleId="33">
    <w:name w:val=" Char Char6"/>
    <w:basedOn w:val="15"/>
    <w:link w:val="3"/>
    <w:qFormat/>
    <w:locked/>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527"/>
          <c:y val="0.311731843575419"/>
          <c:w val="0.927925"/>
          <c:h val="0.366629422718808"/>
        </c:manualLayout>
      </c:layout>
      <c:barChart>
        <c:barDir val="col"/>
        <c:grouping val="clustered"/>
        <c:varyColors val="0"/>
        <c:ser>
          <c:idx val="0"/>
          <c:order val="0"/>
          <c:tx>
            <c:strRef>
              <c:f>Sheet1!$B$1</c:f>
              <c:strCache>
                <c:ptCount val="1"/>
                <c:pt idx="0">
                  <c:v>决算收支总计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1165.16</c:v>
                </c:pt>
                <c:pt idx="1">
                  <c:v>782.57</c:v>
                </c:pt>
              </c:numCache>
            </c:numRef>
          </c:val>
        </c:ser>
        <c:dLbls>
          <c:showLegendKey val="0"/>
          <c:showVal val="1"/>
          <c:showCatName val="0"/>
          <c:showSerName val="0"/>
          <c:showPercent val="0"/>
          <c:showBubbleSize val="0"/>
        </c:dLbls>
        <c:gapWidth val="219"/>
        <c:overlap val="-27"/>
        <c:axId val="122432896"/>
        <c:axId val="122496128"/>
      </c:barChart>
      <c:catAx>
        <c:axId val="1224328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2496128"/>
        <c:crosses val="autoZero"/>
        <c:auto val="1"/>
        <c:lblAlgn val="ctr"/>
        <c:lblOffset val="100"/>
        <c:noMultiLvlLbl val="0"/>
      </c:catAx>
      <c:valAx>
        <c:axId val="1224961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243289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收入决算结构</c:v>
                </c:pt>
              </c:strCache>
            </c:strRef>
          </c:tx>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755.93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支出决算机构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支出决算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606.75</c:v>
                </c:pt>
                <c:pt idx="1">
                  <c:v>168.65</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财政拨款收入支出决算变动情况</a:t>
            </a:r>
            <a:endParaRPr lang="zh-CN" altLang="en-US"/>
          </a:p>
        </c:rich>
      </c:tx>
      <c:layout>
        <c:manualLayout>
          <c:xMode val="edge"/>
          <c:yMode val="edge"/>
          <c:x val="0.257375"/>
          <c:y val="0.0310773480662983"/>
        </c:manualLayout>
      </c:layout>
      <c:overlay val="0"/>
      <c:spPr>
        <a:noFill/>
        <a:ln>
          <a:noFill/>
        </a:ln>
        <a:effectLst/>
      </c:spPr>
    </c:title>
    <c:autoTitleDeleted val="0"/>
    <c:plotArea>
      <c:layout>
        <c:manualLayout>
          <c:layoutTarget val="inner"/>
          <c:xMode val="edge"/>
          <c:yMode val="edge"/>
          <c:x val="0.0787"/>
          <c:y val="0.221685082872928"/>
          <c:w val="0.8938"/>
          <c:h val="0.46560773480663"/>
        </c:manualLayout>
      </c:layout>
      <c:barChart>
        <c:barDir val="col"/>
        <c:grouping val="clustered"/>
        <c:varyColors val="0"/>
        <c:ser>
          <c:idx val="0"/>
          <c:order val="0"/>
          <c:tx>
            <c:strRef>
              <c:f>Sheet1!$B$1</c:f>
              <c:strCache>
                <c:ptCount val="1"/>
                <c:pt idx="0">
                  <c:v>财政拨款收入支出决算变动情况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1165.16</c:v>
                </c:pt>
                <c:pt idx="1">
                  <c:v>782.57</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98607872"/>
        <c:axId val="98609408"/>
      </c:barChart>
      <c:catAx>
        <c:axId val="986078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09408"/>
        <c:crosses val="autoZero"/>
        <c:auto val="1"/>
        <c:lblAlgn val="ctr"/>
        <c:lblOffset val="100"/>
        <c:noMultiLvlLbl val="0"/>
      </c:catAx>
      <c:valAx>
        <c:axId val="986094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07872"/>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1066.97</c:v>
                </c:pt>
                <c:pt idx="1">
                  <c:v>775.4</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98489088"/>
        <c:axId val="98490624"/>
      </c:barChart>
      <c:catAx>
        <c:axId val="9848908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490624"/>
        <c:crosses val="autoZero"/>
        <c:auto val="1"/>
        <c:lblAlgn val="ctr"/>
        <c:lblOffset val="100"/>
        <c:noMultiLvlLbl val="0"/>
      </c:catAx>
      <c:valAx>
        <c:axId val="9849062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489088"/>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一般公共预算财政拨款支出结构</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一般公共服务</c:v>
                </c:pt>
                <c:pt idx="1">
                  <c:v>社会保障和就业</c:v>
                </c:pt>
                <c:pt idx="2">
                  <c:v>卫生健康</c:v>
                </c:pt>
                <c:pt idx="3">
                  <c:v>金融</c:v>
                </c:pt>
                <c:pt idx="4">
                  <c:v>住房保障</c:v>
                </c:pt>
              </c:strCache>
            </c:strRef>
          </c:cat>
          <c:val>
            <c:numRef>
              <c:f>Sheet1!$B$2:$B$6</c:f>
              <c:numCache>
                <c:formatCode>General</c:formatCode>
                <c:ptCount val="5"/>
                <c:pt idx="0">
                  <c:v>636</c:v>
                </c:pt>
                <c:pt idx="1">
                  <c:v>63</c:v>
                </c:pt>
                <c:pt idx="2">
                  <c:v>14.98</c:v>
                </c:pt>
                <c:pt idx="3">
                  <c:v>39.5</c:v>
                </c:pt>
                <c:pt idx="4">
                  <c:v>21.92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Info spid="_x0000_s3074"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310B8-7879-443A-9EE9-1368D8587F9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34</Pages>
  <Words>13153</Words>
  <Characters>14006</Characters>
  <Lines>119</Lines>
  <Paragraphs>33</Paragraphs>
  <TotalTime>2</TotalTime>
  <ScaleCrop>false</ScaleCrop>
  <LinksUpToDate>false</LinksUpToDate>
  <CharactersWithSpaces>14186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Administrator</cp:lastModifiedBy>
  <cp:lastPrinted>2020-07-23T02:58:00Z</cp:lastPrinted>
  <dcterms:modified xsi:type="dcterms:W3CDTF">2022-06-29T07:43:43Z</dcterms:modified>
  <dc:title>四川省***</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B825CD90F37D47B2A38C1ED261279E67</vt:lpwstr>
  </property>
</Properties>
</file>